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989" w:rsidRPr="00937542" w:rsidRDefault="00FE0989" w:rsidP="00937542">
      <w:pPr>
        <w:spacing w:line="276" w:lineRule="auto"/>
        <w:jc w:val="right"/>
        <w:rPr>
          <w:rFonts w:ascii="Calibri" w:eastAsia="Calibri" w:hAnsi="Calibri" w:cs="Arial"/>
          <w:color w:val="7030A0"/>
          <w:sz w:val="36"/>
          <w:szCs w:val="24"/>
          <w:u w:color="000000"/>
          <w:bdr w:val="nil"/>
          <w:lang w:val="es-ES_tradnl" w:eastAsia="es-ES_tradnl"/>
        </w:rPr>
      </w:pPr>
      <w:r w:rsidRPr="00937542">
        <w:rPr>
          <w:rFonts w:ascii="Calibri" w:eastAsia="Calibri" w:hAnsi="Calibri" w:cs="Arial"/>
          <w:color w:val="7030A0"/>
          <w:sz w:val="36"/>
          <w:szCs w:val="24"/>
          <w:u w:color="000000"/>
          <w:bdr w:val="nil"/>
          <w:lang w:val="es-ES_tradnl" w:eastAsia="es-ES_tradnl"/>
        </w:rPr>
        <w:t>Niveles de asimilación económica del estado de Guerrero</w:t>
      </w:r>
    </w:p>
    <w:p w:rsidR="00FE0989" w:rsidRPr="00417F31" w:rsidRDefault="00FE0989" w:rsidP="00937542">
      <w:pPr>
        <w:spacing w:line="276" w:lineRule="auto"/>
        <w:jc w:val="right"/>
        <w:rPr>
          <w:rFonts w:ascii="Calibri" w:eastAsia="Calibri" w:hAnsi="Calibri" w:cs="Arial"/>
          <w:i/>
          <w:color w:val="7030A0"/>
          <w:sz w:val="28"/>
          <w:szCs w:val="24"/>
          <w:u w:color="000000"/>
          <w:bdr w:val="nil"/>
          <w:lang w:val="en-US" w:eastAsia="es-ES_tradnl"/>
        </w:rPr>
      </w:pPr>
      <w:r w:rsidRPr="00417F31">
        <w:rPr>
          <w:rFonts w:ascii="Calibri" w:eastAsia="Calibri" w:hAnsi="Calibri" w:cs="Arial"/>
          <w:i/>
          <w:color w:val="7030A0"/>
          <w:sz w:val="28"/>
          <w:szCs w:val="24"/>
          <w:u w:color="000000"/>
          <w:bdr w:val="nil"/>
          <w:lang w:val="en-US" w:eastAsia="es-ES_tradnl"/>
        </w:rPr>
        <w:t>Levels of economic assimilation of the state of Guerrero</w:t>
      </w:r>
    </w:p>
    <w:p w:rsidR="00937542" w:rsidRPr="00937542" w:rsidRDefault="00937542" w:rsidP="00937542">
      <w:pPr>
        <w:spacing w:line="276" w:lineRule="auto"/>
        <w:jc w:val="right"/>
        <w:rPr>
          <w:rFonts w:ascii="Calibri" w:eastAsia="Calibri" w:hAnsi="Calibri" w:cs="Arial"/>
          <w:i/>
          <w:color w:val="7030A0"/>
          <w:sz w:val="28"/>
          <w:szCs w:val="24"/>
          <w:u w:color="000000"/>
          <w:bdr w:val="nil"/>
          <w:lang w:val="es-ES_tradnl" w:eastAsia="es-ES_tradnl"/>
        </w:rPr>
      </w:pPr>
      <w:r w:rsidRPr="00937542">
        <w:rPr>
          <w:rFonts w:ascii="Calibri" w:eastAsia="Calibri" w:hAnsi="Calibri" w:cs="Arial"/>
          <w:i/>
          <w:color w:val="7030A0"/>
          <w:sz w:val="28"/>
          <w:szCs w:val="24"/>
          <w:u w:color="000000"/>
          <w:bdr w:val="nil"/>
          <w:lang w:val="es-ES_tradnl" w:eastAsia="es-ES_tradnl"/>
        </w:rPr>
        <w:t>Níveis de assimilação econômica do estado de Guerrero</w:t>
      </w:r>
    </w:p>
    <w:p w:rsidR="007C680A" w:rsidRDefault="00937542" w:rsidP="00937542">
      <w:pPr>
        <w:spacing w:after="0" w:line="276" w:lineRule="auto"/>
        <w:jc w:val="right"/>
        <w:rPr>
          <w:rFonts w:ascii="Times New Roman" w:hAnsi="Times New Roman" w:cs="Times New Roman"/>
          <w:bCs/>
          <w:sz w:val="20"/>
          <w:szCs w:val="20"/>
        </w:rPr>
      </w:pPr>
      <w:r>
        <w:rPr>
          <w:rFonts w:ascii="Times New Roman" w:hAnsi="Times New Roman" w:cs="Times New Roman"/>
          <w:bCs/>
          <w:sz w:val="20"/>
          <w:szCs w:val="20"/>
        </w:rPr>
        <w:br/>
      </w:r>
      <w:r w:rsidR="00FE0989" w:rsidRPr="00937542">
        <w:rPr>
          <w:rFonts w:ascii="Calibri" w:eastAsia="Calibri" w:hAnsi="Calibri" w:cs="Arial"/>
          <w:b/>
          <w:color w:val="000000"/>
          <w:sz w:val="24"/>
          <w:szCs w:val="24"/>
          <w:u w:color="000000"/>
          <w:bdr w:val="nil"/>
          <w:lang w:val="es-ES_tradnl" w:eastAsia="es-ES_tradnl"/>
        </w:rPr>
        <w:t>Neftalí García Castro</w:t>
      </w:r>
    </w:p>
    <w:p w:rsidR="007C680A" w:rsidRPr="00937542" w:rsidRDefault="007C680A" w:rsidP="00937542">
      <w:pPr>
        <w:spacing w:line="276" w:lineRule="auto"/>
        <w:jc w:val="right"/>
        <w:rPr>
          <w:rStyle w:val="Hipervnculo"/>
          <w:rFonts w:ascii="Calibri" w:eastAsia="Calibri" w:hAnsi="Calibri" w:cs="Calibri"/>
          <w:color w:val="FF0000"/>
          <w:sz w:val="24"/>
          <w:u w:val="none"/>
          <w:lang w:val="es-ES_tradnl"/>
        </w:rPr>
      </w:pPr>
      <w:r w:rsidRPr="00937542">
        <w:rPr>
          <w:rFonts w:ascii="Calibri" w:eastAsia="Times New Roman" w:hAnsi="Calibri" w:cs="Arial"/>
          <w:color w:val="000000"/>
          <w:sz w:val="24"/>
          <w:szCs w:val="19"/>
          <w:shd w:val="clear" w:color="auto" w:fill="FFFFFF"/>
          <w:lang w:val="es-ES_tradnl" w:eastAsia="es-ES"/>
        </w:rPr>
        <w:t>Universidad Autónoma de Guerrero</w:t>
      </w:r>
      <w:r w:rsidR="00417F31">
        <w:rPr>
          <w:rFonts w:ascii="Calibri" w:eastAsia="Calibri" w:hAnsi="Calibri" w:cs="Calibri"/>
          <w:lang w:val="es-ES"/>
        </w:rPr>
        <w:t>, México</w:t>
      </w:r>
      <w:r w:rsidR="00937542">
        <w:rPr>
          <w:rFonts w:ascii="Calibri" w:eastAsia="Times New Roman" w:hAnsi="Calibri" w:cs="Arial"/>
          <w:color w:val="000000"/>
          <w:sz w:val="24"/>
          <w:szCs w:val="19"/>
          <w:shd w:val="clear" w:color="auto" w:fill="FFFFFF"/>
          <w:lang w:val="es-ES_tradnl" w:eastAsia="es-ES"/>
        </w:rPr>
        <w:br/>
      </w:r>
      <w:hyperlink r:id="rId7" w:history="1">
        <w:r w:rsidRPr="00937542">
          <w:rPr>
            <w:rStyle w:val="Hipervnculo"/>
            <w:rFonts w:ascii="Calibri" w:eastAsia="Calibri" w:hAnsi="Calibri" w:cs="Calibri"/>
            <w:color w:val="FF0000"/>
            <w:sz w:val="24"/>
            <w:u w:val="none"/>
            <w:lang w:val="es-ES_tradnl"/>
          </w:rPr>
          <w:t>ngarciaca@conacyt.mx</w:t>
        </w:r>
      </w:hyperlink>
    </w:p>
    <w:p w:rsidR="00FE0989" w:rsidRPr="00FE0989" w:rsidRDefault="00FE0989" w:rsidP="00937542">
      <w:pPr>
        <w:spacing w:after="0" w:line="276" w:lineRule="auto"/>
        <w:jc w:val="right"/>
        <w:rPr>
          <w:rFonts w:ascii="Times New Roman" w:hAnsi="Times New Roman" w:cs="Times New Roman"/>
          <w:bCs/>
          <w:sz w:val="20"/>
          <w:szCs w:val="20"/>
        </w:rPr>
      </w:pPr>
    </w:p>
    <w:p w:rsidR="00FE0989" w:rsidRDefault="00FE0989" w:rsidP="00937542">
      <w:pPr>
        <w:spacing w:after="0" w:line="276" w:lineRule="auto"/>
        <w:jc w:val="right"/>
        <w:rPr>
          <w:rFonts w:ascii="Calibri" w:eastAsia="Calibri" w:hAnsi="Calibri" w:cs="Arial"/>
          <w:b/>
          <w:color w:val="000000"/>
          <w:sz w:val="24"/>
          <w:szCs w:val="24"/>
          <w:u w:color="000000"/>
          <w:bdr w:val="nil"/>
          <w:lang w:val="es-ES_tradnl" w:eastAsia="es-ES_tradnl"/>
        </w:rPr>
      </w:pPr>
      <w:r w:rsidRPr="00937542">
        <w:rPr>
          <w:rFonts w:ascii="Calibri" w:eastAsia="Calibri" w:hAnsi="Calibri" w:cs="Arial"/>
          <w:b/>
          <w:color w:val="000000"/>
          <w:sz w:val="24"/>
          <w:szCs w:val="24"/>
          <w:u w:color="000000"/>
          <w:bdr w:val="nil"/>
          <w:lang w:val="es-ES_tradnl" w:eastAsia="es-ES_tradnl"/>
        </w:rPr>
        <w:t>Salvador Villerías Salinas</w:t>
      </w:r>
      <w:r w:rsidR="00937542">
        <w:rPr>
          <w:rFonts w:ascii="Calibri" w:eastAsia="Calibri" w:hAnsi="Calibri" w:cs="Arial"/>
          <w:b/>
          <w:color w:val="000000"/>
          <w:sz w:val="24"/>
          <w:szCs w:val="24"/>
          <w:u w:color="000000"/>
          <w:bdr w:val="nil"/>
          <w:lang w:val="es-ES_tradnl" w:eastAsia="es-ES_tradnl"/>
        </w:rPr>
        <w:br/>
      </w:r>
      <w:r w:rsidR="00937542" w:rsidRPr="00937542">
        <w:rPr>
          <w:rFonts w:ascii="Calibri" w:eastAsia="Times New Roman" w:hAnsi="Calibri" w:cs="Arial"/>
          <w:color w:val="000000"/>
          <w:sz w:val="24"/>
          <w:szCs w:val="19"/>
          <w:shd w:val="clear" w:color="auto" w:fill="FFFFFF"/>
          <w:lang w:val="es-ES_tradnl" w:eastAsia="es-ES"/>
        </w:rPr>
        <w:t>Universidad Autónoma de Guerrero</w:t>
      </w:r>
      <w:r w:rsidR="00417F31">
        <w:rPr>
          <w:rFonts w:ascii="Calibri" w:eastAsia="Calibri" w:hAnsi="Calibri" w:cs="Calibri"/>
          <w:lang w:val="es-ES"/>
        </w:rPr>
        <w:t>, México</w:t>
      </w:r>
      <w:r w:rsidR="00937542">
        <w:rPr>
          <w:rFonts w:ascii="Calibri" w:eastAsia="Times New Roman" w:hAnsi="Calibri" w:cs="Arial"/>
          <w:color w:val="000000"/>
          <w:sz w:val="24"/>
          <w:szCs w:val="19"/>
          <w:shd w:val="clear" w:color="auto" w:fill="FFFFFF"/>
          <w:lang w:val="es-ES_tradnl" w:eastAsia="es-ES"/>
        </w:rPr>
        <w:br/>
      </w:r>
      <w:hyperlink r:id="rId8" w:history="1">
        <w:r w:rsidR="00937542" w:rsidRPr="00937542">
          <w:rPr>
            <w:rStyle w:val="Hipervnculo"/>
            <w:rFonts w:ascii="Calibri" w:eastAsia="Calibri" w:hAnsi="Calibri" w:cs="Calibri"/>
            <w:color w:val="FF0000"/>
            <w:sz w:val="24"/>
            <w:u w:val="none"/>
            <w:lang w:val="es-ES_tradnl"/>
          </w:rPr>
          <w:t>svilleriass@gmail.com</w:t>
        </w:r>
      </w:hyperlink>
    </w:p>
    <w:p w:rsidR="00937542" w:rsidRDefault="00937542" w:rsidP="00937542">
      <w:pPr>
        <w:spacing w:after="0" w:line="276" w:lineRule="auto"/>
        <w:jc w:val="right"/>
        <w:rPr>
          <w:rFonts w:ascii="Calibri" w:eastAsia="Calibri" w:hAnsi="Calibri" w:cs="Arial"/>
          <w:b/>
          <w:color w:val="000000"/>
          <w:sz w:val="24"/>
          <w:szCs w:val="24"/>
          <w:u w:color="000000"/>
          <w:bdr w:val="nil"/>
          <w:lang w:val="es-ES_tradnl" w:eastAsia="es-ES_tradnl"/>
        </w:rPr>
      </w:pPr>
    </w:p>
    <w:p w:rsidR="00FE0989" w:rsidRPr="00937542" w:rsidRDefault="00FE0989" w:rsidP="00937542">
      <w:pPr>
        <w:spacing w:after="0" w:line="276" w:lineRule="auto"/>
        <w:jc w:val="right"/>
        <w:rPr>
          <w:rFonts w:ascii="Calibri" w:eastAsia="Calibri" w:hAnsi="Calibri" w:cs="Arial"/>
          <w:b/>
          <w:color w:val="000000"/>
          <w:sz w:val="24"/>
          <w:szCs w:val="24"/>
          <w:u w:color="000000"/>
          <w:bdr w:val="nil"/>
          <w:lang w:val="es-ES_tradnl" w:eastAsia="es-ES_tradnl"/>
        </w:rPr>
      </w:pPr>
      <w:r w:rsidRPr="00937542">
        <w:rPr>
          <w:rFonts w:ascii="Calibri" w:eastAsia="Calibri" w:hAnsi="Calibri" w:cs="Arial"/>
          <w:b/>
          <w:color w:val="000000"/>
          <w:sz w:val="24"/>
          <w:szCs w:val="24"/>
          <w:u w:color="000000"/>
          <w:bdr w:val="nil"/>
          <w:lang w:val="es-ES_tradnl" w:eastAsia="es-ES_tradnl"/>
        </w:rPr>
        <w:t>Pedro Vidal Tello Almaguer</w:t>
      </w:r>
    </w:p>
    <w:p w:rsidR="007C680A" w:rsidRPr="00937542" w:rsidRDefault="007C680A" w:rsidP="00937542">
      <w:pPr>
        <w:spacing w:line="276" w:lineRule="auto"/>
        <w:jc w:val="right"/>
        <w:rPr>
          <w:rStyle w:val="Hipervnculo"/>
          <w:rFonts w:ascii="Calibri" w:eastAsia="Calibri" w:hAnsi="Calibri" w:cs="Calibri"/>
          <w:color w:val="FF0000"/>
          <w:sz w:val="24"/>
          <w:u w:val="none"/>
          <w:lang w:val="es-ES_tradnl"/>
        </w:rPr>
      </w:pPr>
      <w:r w:rsidRPr="00937542">
        <w:rPr>
          <w:rFonts w:ascii="Calibri" w:eastAsia="Times New Roman" w:hAnsi="Calibri" w:cs="Arial"/>
          <w:color w:val="000000"/>
          <w:sz w:val="24"/>
          <w:szCs w:val="19"/>
          <w:shd w:val="clear" w:color="auto" w:fill="FFFFFF"/>
          <w:lang w:val="es-ES_tradnl" w:eastAsia="es-ES"/>
        </w:rPr>
        <w:t>Universidad Autónoma de Guerrero</w:t>
      </w:r>
      <w:r w:rsidR="00417F31">
        <w:rPr>
          <w:rFonts w:ascii="Calibri" w:eastAsia="Calibri" w:hAnsi="Calibri" w:cs="Calibri"/>
          <w:lang w:val="es-ES"/>
        </w:rPr>
        <w:t>, México</w:t>
      </w:r>
      <w:bookmarkStart w:id="0" w:name="_GoBack"/>
      <w:bookmarkEnd w:id="0"/>
      <w:r w:rsidR="00937542">
        <w:rPr>
          <w:rFonts w:ascii="Calibri" w:eastAsia="Times New Roman" w:hAnsi="Calibri" w:cs="Arial"/>
          <w:color w:val="000000"/>
          <w:sz w:val="24"/>
          <w:szCs w:val="19"/>
          <w:shd w:val="clear" w:color="auto" w:fill="FFFFFF"/>
          <w:lang w:val="es-ES_tradnl" w:eastAsia="es-ES"/>
        </w:rPr>
        <w:br/>
      </w:r>
      <w:r w:rsidRPr="00937542">
        <w:rPr>
          <w:rStyle w:val="Hipervnculo"/>
          <w:rFonts w:ascii="Calibri" w:eastAsia="Calibri" w:hAnsi="Calibri" w:cs="Calibri"/>
          <w:color w:val="FF0000"/>
          <w:sz w:val="24"/>
          <w:u w:val="none"/>
          <w:lang w:val="es-ES_tradnl"/>
        </w:rPr>
        <w:t xml:space="preserve">  </w:t>
      </w:r>
      <w:hyperlink r:id="rId9" w:history="1">
        <w:r w:rsidRPr="00937542">
          <w:rPr>
            <w:rStyle w:val="Hipervnculo"/>
            <w:rFonts w:ascii="Calibri" w:eastAsia="Calibri" w:hAnsi="Calibri" w:cs="Calibri"/>
            <w:color w:val="FF0000"/>
            <w:sz w:val="24"/>
            <w:u w:val="none"/>
            <w:lang w:val="es-ES_tradnl"/>
          </w:rPr>
          <w:t>pvidalt@hotmail.com</w:t>
        </w:r>
      </w:hyperlink>
    </w:p>
    <w:p w:rsidR="00FE0989" w:rsidRDefault="00FE0989" w:rsidP="00DB36F0">
      <w:pPr>
        <w:spacing w:line="360" w:lineRule="auto"/>
        <w:jc w:val="center"/>
        <w:rPr>
          <w:rFonts w:ascii="Times New Roman" w:hAnsi="Times New Roman" w:cs="Times New Roman"/>
          <w:b/>
          <w:bCs/>
          <w:sz w:val="24"/>
          <w:szCs w:val="24"/>
        </w:rPr>
      </w:pPr>
    </w:p>
    <w:p w:rsidR="009811D5" w:rsidRPr="00937542" w:rsidRDefault="00DF0DCB" w:rsidP="00DB36F0">
      <w:pPr>
        <w:spacing w:line="360" w:lineRule="auto"/>
        <w:jc w:val="both"/>
        <w:rPr>
          <w:rFonts w:ascii="Calibri" w:eastAsia="SimSun" w:hAnsi="Calibri" w:cs="Arial"/>
          <w:color w:val="7030A0"/>
          <w:sz w:val="28"/>
          <w:szCs w:val="24"/>
          <w:lang w:val="es-ES" w:eastAsia="zh-CN"/>
        </w:rPr>
      </w:pPr>
      <w:r w:rsidRPr="00937542">
        <w:rPr>
          <w:rFonts w:ascii="Calibri" w:eastAsia="SimSun" w:hAnsi="Calibri" w:cs="Arial"/>
          <w:color w:val="7030A0"/>
          <w:sz w:val="28"/>
          <w:szCs w:val="24"/>
          <w:lang w:val="es-ES" w:eastAsia="zh-CN"/>
        </w:rPr>
        <w:t>R</w:t>
      </w:r>
      <w:r w:rsidR="009811D5" w:rsidRPr="00937542">
        <w:rPr>
          <w:rFonts w:ascii="Calibri" w:eastAsia="SimSun" w:hAnsi="Calibri" w:cs="Arial"/>
          <w:color w:val="7030A0"/>
          <w:sz w:val="28"/>
          <w:szCs w:val="24"/>
          <w:lang w:val="es-ES" w:eastAsia="zh-CN"/>
        </w:rPr>
        <w:t>esumen</w:t>
      </w:r>
    </w:p>
    <w:p w:rsidR="009811D5" w:rsidRPr="00DB36F0" w:rsidRDefault="00CD7EF6"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Este traba</w:t>
      </w:r>
      <w:r w:rsidR="00D657F2" w:rsidRPr="00DB36F0">
        <w:rPr>
          <w:rFonts w:ascii="Times New Roman" w:hAnsi="Times New Roman" w:cs="Times New Roman"/>
          <w:bCs/>
          <w:sz w:val="24"/>
          <w:szCs w:val="24"/>
        </w:rPr>
        <w:t xml:space="preserve">jo tiene como objetivo central exponer la configuración </w:t>
      </w:r>
      <w:r w:rsidR="00CD28FA" w:rsidRPr="00DB36F0">
        <w:rPr>
          <w:rFonts w:ascii="Times New Roman" w:hAnsi="Times New Roman" w:cs="Times New Roman"/>
          <w:bCs/>
          <w:sz w:val="24"/>
          <w:szCs w:val="24"/>
        </w:rPr>
        <w:t>del estado de Guerrero</w:t>
      </w:r>
      <w:r w:rsidRPr="00DB36F0">
        <w:rPr>
          <w:rFonts w:ascii="Times New Roman" w:hAnsi="Times New Roman" w:cs="Times New Roman"/>
          <w:bCs/>
          <w:sz w:val="24"/>
          <w:szCs w:val="24"/>
        </w:rPr>
        <w:t xml:space="preserve">, con base en la teoría de la asimilación económica y la tipificación </w:t>
      </w:r>
      <w:r w:rsidR="00CD28FA" w:rsidRPr="00DB36F0">
        <w:rPr>
          <w:rFonts w:ascii="Times New Roman" w:hAnsi="Times New Roman" w:cs="Times New Roman"/>
          <w:bCs/>
          <w:sz w:val="24"/>
          <w:szCs w:val="24"/>
        </w:rPr>
        <w:t>probabilística</w:t>
      </w:r>
      <w:r w:rsidRPr="00DB36F0">
        <w:rPr>
          <w:rFonts w:ascii="Times New Roman" w:hAnsi="Times New Roman" w:cs="Times New Roman"/>
          <w:bCs/>
          <w:sz w:val="24"/>
          <w:szCs w:val="24"/>
        </w:rPr>
        <w:t>.</w:t>
      </w:r>
      <w:r w:rsidR="00D657F2" w:rsidRPr="00DB36F0">
        <w:rPr>
          <w:rFonts w:ascii="Times New Roman" w:hAnsi="Times New Roman" w:cs="Times New Roman"/>
          <w:bCs/>
          <w:sz w:val="24"/>
          <w:szCs w:val="24"/>
        </w:rPr>
        <w:t xml:space="preserve"> E</w:t>
      </w:r>
      <w:r w:rsidR="00CD28FA" w:rsidRPr="00DB36F0">
        <w:rPr>
          <w:rFonts w:ascii="Times New Roman" w:hAnsi="Times New Roman" w:cs="Times New Roman"/>
          <w:bCs/>
          <w:sz w:val="24"/>
          <w:szCs w:val="24"/>
        </w:rPr>
        <w:t xml:space="preserve">sta propuesta teórico-metodológica de la geografía económica </w:t>
      </w:r>
      <w:r w:rsidR="00796DD9" w:rsidRPr="00DB36F0">
        <w:rPr>
          <w:rFonts w:ascii="Times New Roman" w:hAnsi="Times New Roman" w:cs="Times New Roman"/>
          <w:bCs/>
          <w:sz w:val="24"/>
          <w:szCs w:val="24"/>
        </w:rPr>
        <w:t xml:space="preserve">coadyuva </w:t>
      </w:r>
      <w:r w:rsidR="00AD7EBA" w:rsidRPr="00DB36F0">
        <w:rPr>
          <w:rFonts w:ascii="Times New Roman" w:hAnsi="Times New Roman" w:cs="Times New Roman"/>
          <w:bCs/>
          <w:sz w:val="24"/>
          <w:szCs w:val="24"/>
        </w:rPr>
        <w:t xml:space="preserve">a la interpretación </w:t>
      </w:r>
      <w:r w:rsidR="00796DD9" w:rsidRPr="00DB36F0">
        <w:rPr>
          <w:rFonts w:ascii="Times New Roman" w:hAnsi="Times New Roman" w:cs="Times New Roman"/>
          <w:bCs/>
          <w:sz w:val="24"/>
          <w:szCs w:val="24"/>
        </w:rPr>
        <w:t xml:space="preserve">de la relación que guardan los componentes sociales, económicos y físicos, en un espacio particular. </w:t>
      </w:r>
      <w:r w:rsidR="00522D6A">
        <w:rPr>
          <w:rFonts w:ascii="Times New Roman" w:hAnsi="Times New Roman" w:cs="Times New Roman"/>
          <w:bCs/>
          <w:sz w:val="24"/>
          <w:szCs w:val="24"/>
        </w:rPr>
        <w:t>L</w:t>
      </w:r>
      <w:r w:rsidR="00FF074B" w:rsidRPr="00DB36F0">
        <w:rPr>
          <w:rFonts w:ascii="Times New Roman" w:hAnsi="Times New Roman" w:cs="Times New Roman"/>
          <w:bCs/>
          <w:sz w:val="24"/>
          <w:szCs w:val="24"/>
        </w:rPr>
        <w:t>a metodología empleada es fundamental</w:t>
      </w:r>
      <w:r w:rsidR="00D657F2" w:rsidRPr="00DB36F0">
        <w:rPr>
          <w:rFonts w:ascii="Times New Roman" w:hAnsi="Times New Roman" w:cs="Times New Roman"/>
          <w:bCs/>
          <w:sz w:val="24"/>
          <w:szCs w:val="24"/>
        </w:rPr>
        <w:t xml:space="preserve"> para la construcción de tipologías que </w:t>
      </w:r>
      <w:r w:rsidR="00FF074B" w:rsidRPr="00DB36F0">
        <w:rPr>
          <w:rFonts w:ascii="Times New Roman" w:hAnsi="Times New Roman" w:cs="Times New Roman"/>
          <w:bCs/>
          <w:sz w:val="24"/>
          <w:szCs w:val="24"/>
        </w:rPr>
        <w:t>compendian</w:t>
      </w:r>
      <w:r w:rsidR="0020509C" w:rsidRPr="00DB36F0">
        <w:rPr>
          <w:rFonts w:ascii="Times New Roman" w:hAnsi="Times New Roman" w:cs="Times New Roman"/>
          <w:bCs/>
          <w:sz w:val="24"/>
          <w:szCs w:val="24"/>
        </w:rPr>
        <w:t xml:space="preserve"> </w:t>
      </w:r>
      <w:r w:rsidR="00D657F2" w:rsidRPr="00DB36F0">
        <w:rPr>
          <w:rFonts w:ascii="Times New Roman" w:hAnsi="Times New Roman" w:cs="Times New Roman"/>
          <w:bCs/>
          <w:sz w:val="24"/>
          <w:szCs w:val="24"/>
        </w:rPr>
        <w:t>el comportamiento</w:t>
      </w:r>
      <w:r w:rsidR="002A11E4" w:rsidRPr="00DB36F0">
        <w:rPr>
          <w:rFonts w:ascii="Times New Roman" w:hAnsi="Times New Roman" w:cs="Times New Roman"/>
          <w:bCs/>
          <w:sz w:val="24"/>
          <w:szCs w:val="24"/>
        </w:rPr>
        <w:t xml:space="preserve"> de los </w:t>
      </w:r>
      <w:r w:rsidR="00D657F2" w:rsidRPr="00DB36F0">
        <w:rPr>
          <w:rFonts w:ascii="Times New Roman" w:hAnsi="Times New Roman" w:cs="Times New Roman"/>
          <w:bCs/>
          <w:sz w:val="24"/>
          <w:szCs w:val="24"/>
        </w:rPr>
        <w:t>indicadores seleccionados</w:t>
      </w:r>
      <w:r w:rsidR="00522D6A">
        <w:rPr>
          <w:rFonts w:ascii="Times New Roman" w:hAnsi="Times New Roman" w:cs="Times New Roman"/>
          <w:bCs/>
          <w:sz w:val="24"/>
          <w:szCs w:val="24"/>
        </w:rPr>
        <w:t>,</w:t>
      </w:r>
      <w:r w:rsidR="00AD7EBA" w:rsidRPr="00DB36F0">
        <w:rPr>
          <w:rFonts w:ascii="Times New Roman" w:hAnsi="Times New Roman" w:cs="Times New Roman"/>
          <w:bCs/>
          <w:sz w:val="24"/>
          <w:szCs w:val="24"/>
        </w:rPr>
        <w:t xml:space="preserve"> con la finalidad de</w:t>
      </w:r>
      <w:r w:rsidR="00DB36F0">
        <w:rPr>
          <w:rFonts w:ascii="Times New Roman" w:hAnsi="Times New Roman" w:cs="Times New Roman"/>
          <w:bCs/>
          <w:sz w:val="24"/>
          <w:szCs w:val="24"/>
        </w:rPr>
        <w:t xml:space="preserve"> ponderar </w:t>
      </w:r>
      <w:r w:rsidR="00FF074B" w:rsidRPr="00DB36F0">
        <w:rPr>
          <w:rFonts w:ascii="Times New Roman" w:hAnsi="Times New Roman" w:cs="Times New Roman"/>
          <w:bCs/>
          <w:sz w:val="24"/>
          <w:szCs w:val="24"/>
        </w:rPr>
        <w:t>desproporciones territoriales, las cuales son interpre</w:t>
      </w:r>
      <w:r w:rsidR="00AD7EBA" w:rsidRPr="00DB36F0">
        <w:rPr>
          <w:rFonts w:ascii="Times New Roman" w:hAnsi="Times New Roman" w:cs="Times New Roman"/>
          <w:bCs/>
          <w:sz w:val="24"/>
          <w:szCs w:val="24"/>
        </w:rPr>
        <w:t>tadas a la luz de los escenarios socio-territoriales reconocidos por los postulados de la</w:t>
      </w:r>
      <w:r w:rsidR="00FF074B" w:rsidRPr="00DB36F0">
        <w:rPr>
          <w:rFonts w:ascii="Times New Roman" w:hAnsi="Times New Roman" w:cs="Times New Roman"/>
          <w:bCs/>
          <w:sz w:val="24"/>
          <w:szCs w:val="24"/>
        </w:rPr>
        <w:t xml:space="preserve"> asimilación económica. </w:t>
      </w:r>
      <w:r w:rsidR="00DD155E" w:rsidRPr="00DB36F0">
        <w:rPr>
          <w:rFonts w:ascii="Times New Roman" w:hAnsi="Times New Roman" w:cs="Times New Roman"/>
          <w:bCs/>
          <w:sz w:val="24"/>
          <w:szCs w:val="24"/>
        </w:rPr>
        <w:t>Este artículo revela</w:t>
      </w:r>
      <w:r w:rsidR="00CD6D63" w:rsidRPr="00DB36F0">
        <w:rPr>
          <w:rFonts w:ascii="Times New Roman" w:hAnsi="Times New Roman" w:cs="Times New Roman"/>
          <w:bCs/>
          <w:sz w:val="24"/>
          <w:szCs w:val="24"/>
        </w:rPr>
        <w:t xml:space="preserve"> once </w:t>
      </w:r>
      <w:r w:rsidR="00DD155E" w:rsidRPr="00DB36F0">
        <w:rPr>
          <w:rFonts w:ascii="Times New Roman" w:hAnsi="Times New Roman" w:cs="Times New Roman"/>
          <w:bCs/>
          <w:sz w:val="24"/>
          <w:szCs w:val="24"/>
        </w:rPr>
        <w:t xml:space="preserve">niveles </w:t>
      </w:r>
      <w:r w:rsidR="00CD6D63" w:rsidRPr="00DB36F0">
        <w:rPr>
          <w:rFonts w:ascii="Times New Roman" w:hAnsi="Times New Roman" w:cs="Times New Roman"/>
          <w:bCs/>
          <w:sz w:val="24"/>
          <w:szCs w:val="24"/>
        </w:rPr>
        <w:t xml:space="preserve">que </w:t>
      </w:r>
      <w:r w:rsidR="002A11E4" w:rsidRPr="00DB36F0">
        <w:rPr>
          <w:rFonts w:ascii="Times New Roman" w:hAnsi="Times New Roman" w:cs="Times New Roman"/>
          <w:bCs/>
          <w:sz w:val="24"/>
          <w:szCs w:val="24"/>
        </w:rPr>
        <w:t>dan cuenta de un proceso de asimilación económica significativo en aquellas demarcaciones que contienen centros turísticos consolidados</w:t>
      </w:r>
      <w:r w:rsidR="000B14C6">
        <w:rPr>
          <w:rFonts w:ascii="Times New Roman" w:hAnsi="Times New Roman" w:cs="Times New Roman"/>
          <w:bCs/>
          <w:sz w:val="24"/>
          <w:szCs w:val="24"/>
        </w:rPr>
        <w:t xml:space="preserve"> (Acapulco e Ixtapa-Zihuatanejo)</w:t>
      </w:r>
      <w:r w:rsidR="002A11E4" w:rsidRPr="00DB36F0">
        <w:rPr>
          <w:rFonts w:ascii="Times New Roman" w:hAnsi="Times New Roman" w:cs="Times New Roman"/>
          <w:bCs/>
          <w:sz w:val="24"/>
          <w:szCs w:val="24"/>
        </w:rPr>
        <w:t>, función política-administrativa (Chilpancingo), un papel notable en el abastecimiento regional de bienes y servicios o aquellos que reportan actividades agropecuarias con rendimientos considerables.</w:t>
      </w:r>
    </w:p>
    <w:p w:rsidR="00C44C49" w:rsidRDefault="00C44C49" w:rsidP="00C44C49">
      <w:pPr>
        <w:spacing w:line="360" w:lineRule="auto"/>
        <w:jc w:val="both"/>
        <w:rPr>
          <w:rFonts w:ascii="Times New Roman" w:hAnsi="Times New Roman" w:cs="Times New Roman"/>
          <w:bCs/>
          <w:sz w:val="24"/>
          <w:szCs w:val="24"/>
        </w:rPr>
      </w:pPr>
      <w:r w:rsidRPr="00937542">
        <w:rPr>
          <w:rFonts w:ascii="Calibri" w:eastAsia="SimSun" w:hAnsi="Calibri" w:cs="Arial"/>
          <w:color w:val="7030A0"/>
          <w:sz w:val="28"/>
          <w:szCs w:val="24"/>
          <w:lang w:val="es-ES" w:eastAsia="zh-CN"/>
        </w:rPr>
        <w:t>Palabras clave:</w:t>
      </w:r>
      <w:r w:rsidRPr="00DB36F0">
        <w:rPr>
          <w:rFonts w:ascii="Times New Roman" w:hAnsi="Times New Roman" w:cs="Times New Roman"/>
          <w:b/>
          <w:bCs/>
          <w:sz w:val="24"/>
          <w:szCs w:val="24"/>
        </w:rPr>
        <w:t xml:space="preserve"> </w:t>
      </w:r>
      <w:r w:rsidRPr="00DB36F0">
        <w:rPr>
          <w:rFonts w:ascii="Times New Roman" w:hAnsi="Times New Roman" w:cs="Times New Roman"/>
          <w:bCs/>
          <w:sz w:val="24"/>
          <w:szCs w:val="24"/>
        </w:rPr>
        <w:t xml:space="preserve">asimilación económica, </w:t>
      </w:r>
      <w:r>
        <w:rPr>
          <w:rFonts w:ascii="Times New Roman" w:hAnsi="Times New Roman" w:cs="Times New Roman"/>
          <w:bCs/>
          <w:sz w:val="24"/>
          <w:szCs w:val="24"/>
        </w:rPr>
        <w:t xml:space="preserve">tipología, territorio, </w:t>
      </w:r>
      <w:r w:rsidRPr="00DB36F0">
        <w:rPr>
          <w:rFonts w:ascii="Times New Roman" w:hAnsi="Times New Roman" w:cs="Times New Roman"/>
          <w:bCs/>
          <w:sz w:val="24"/>
          <w:szCs w:val="24"/>
        </w:rPr>
        <w:t>Guerrero, México.</w:t>
      </w:r>
    </w:p>
    <w:p w:rsidR="009811D5" w:rsidRPr="00937542" w:rsidRDefault="009811D5" w:rsidP="00DB36F0">
      <w:pPr>
        <w:spacing w:line="360" w:lineRule="auto"/>
        <w:jc w:val="both"/>
        <w:rPr>
          <w:rFonts w:ascii="Calibri" w:eastAsia="SimSun" w:hAnsi="Calibri" w:cs="Arial"/>
          <w:color w:val="7030A0"/>
          <w:sz w:val="28"/>
          <w:szCs w:val="24"/>
          <w:lang w:val="es-ES" w:eastAsia="zh-CN"/>
        </w:rPr>
      </w:pPr>
      <w:r w:rsidRPr="00937542">
        <w:rPr>
          <w:rFonts w:ascii="Calibri" w:eastAsia="SimSun" w:hAnsi="Calibri" w:cs="Arial"/>
          <w:color w:val="7030A0"/>
          <w:sz w:val="28"/>
          <w:szCs w:val="24"/>
          <w:lang w:val="es-ES" w:eastAsia="zh-CN"/>
        </w:rPr>
        <w:lastRenderedPageBreak/>
        <w:t>Abstract</w:t>
      </w:r>
    </w:p>
    <w:p w:rsidR="004333B2" w:rsidRDefault="004333B2" w:rsidP="004333B2">
      <w:pPr>
        <w:spacing w:line="360" w:lineRule="auto"/>
        <w:jc w:val="both"/>
        <w:rPr>
          <w:rFonts w:ascii="Times New Roman" w:hAnsi="Times New Roman" w:cs="Times New Roman"/>
          <w:sz w:val="24"/>
          <w:szCs w:val="24"/>
        </w:rPr>
      </w:pPr>
      <w:r>
        <w:rPr>
          <w:rFonts w:ascii="Times New Roman" w:hAnsi="Times New Roman" w:cs="Times New Roman"/>
          <w:sz w:val="24"/>
          <w:szCs w:val="24"/>
        </w:rPr>
        <w:t>This work aims to expose the configuration of the State of Guerrero, based on the theory of economic assimilation and the probabilistic classification. This theoretical-methodological proposal of economic geography contributes to the interpretation of the relationship that are social, physical, and economic components in a particular space. The methodology used is fundamental for the construction of typologies that summarize the behavior of the selected indicators, in order to consider territorial imbalances, which are interpreted in the light of socio-territorial scenarios recognized by the postulates of economic assimilation. This article reveals eleven levels that account for a significant economic assimilation process in those districts that contain consolidated resorts (Acapulco and Ixtapa-Zihuatanejo), political and administrative function (Chilpancingo), a notable role in the regional supply of goods and services, or those that report agricultural activities with substantial yields.</w:t>
      </w:r>
    </w:p>
    <w:p w:rsidR="000B14C6" w:rsidRPr="00E56FCE" w:rsidRDefault="004333B2" w:rsidP="004333B2">
      <w:pPr>
        <w:spacing w:line="360" w:lineRule="auto"/>
        <w:jc w:val="both"/>
        <w:rPr>
          <w:rFonts w:ascii="Times New Roman" w:hAnsi="Times New Roman" w:cs="Times New Roman"/>
          <w:bCs/>
          <w:sz w:val="24"/>
          <w:szCs w:val="24"/>
          <w:lang w:val="en-US"/>
        </w:rPr>
      </w:pPr>
      <w:r>
        <w:rPr>
          <w:rFonts w:ascii="Times New Roman" w:hAnsi="Times New Roman" w:cs="Times New Roman"/>
          <w:sz w:val="24"/>
          <w:szCs w:val="24"/>
        </w:rPr>
        <w:t>.</w:t>
      </w:r>
      <w:r>
        <w:rPr>
          <w:rFonts w:eastAsia="SimSun" w:cs="Arial"/>
          <w:color w:val="7030A0"/>
          <w:sz w:val="28"/>
          <w:szCs w:val="24"/>
          <w:lang w:val="es-ES_tradnl" w:eastAsia="zh-CN"/>
        </w:rPr>
        <w:t>Key Words:</w:t>
      </w:r>
      <w:r>
        <w:rPr>
          <w:rFonts w:ascii="Times New Roman" w:hAnsi="Times New Roman" w:cs="Times New Roman"/>
          <w:b/>
          <w:sz w:val="24"/>
          <w:szCs w:val="24"/>
        </w:rPr>
        <w:t xml:space="preserve"> </w:t>
      </w:r>
      <w:r>
        <w:rPr>
          <w:rFonts w:ascii="Times New Roman" w:hAnsi="Times New Roman" w:cs="Times New Roman"/>
          <w:sz w:val="24"/>
          <w:szCs w:val="24"/>
        </w:rPr>
        <w:t>economic assimilation, typology, territory, Guerrero, México.</w:t>
      </w:r>
    </w:p>
    <w:p w:rsidR="00C44C49" w:rsidRPr="00937542" w:rsidRDefault="00937542" w:rsidP="00DB36F0">
      <w:pPr>
        <w:spacing w:line="360" w:lineRule="auto"/>
        <w:jc w:val="both"/>
        <w:rPr>
          <w:rFonts w:ascii="Calibri" w:eastAsia="SimSun" w:hAnsi="Calibri" w:cs="Arial"/>
          <w:color w:val="7030A0"/>
          <w:sz w:val="28"/>
          <w:szCs w:val="24"/>
          <w:lang w:val="es-ES" w:eastAsia="zh-CN"/>
        </w:rPr>
      </w:pPr>
      <w:r w:rsidRPr="00937542">
        <w:rPr>
          <w:rFonts w:ascii="Calibri" w:eastAsia="SimSun" w:hAnsi="Calibri" w:cs="Arial"/>
          <w:color w:val="7030A0"/>
          <w:sz w:val="28"/>
          <w:szCs w:val="24"/>
          <w:lang w:val="es-ES" w:eastAsia="zh-CN"/>
        </w:rPr>
        <w:t>Resumo</w:t>
      </w:r>
    </w:p>
    <w:p w:rsidR="00937542" w:rsidRPr="00937542" w:rsidRDefault="00937542" w:rsidP="00937542">
      <w:pPr>
        <w:spacing w:line="360" w:lineRule="auto"/>
        <w:jc w:val="both"/>
        <w:rPr>
          <w:rFonts w:ascii="Times New Roman" w:hAnsi="Times New Roman" w:cs="Times New Roman"/>
          <w:bCs/>
          <w:sz w:val="24"/>
          <w:szCs w:val="24"/>
          <w:lang w:val="en-US"/>
        </w:rPr>
      </w:pPr>
      <w:r w:rsidRPr="00937542">
        <w:rPr>
          <w:rFonts w:ascii="Times New Roman" w:hAnsi="Times New Roman" w:cs="Times New Roman"/>
          <w:bCs/>
          <w:sz w:val="24"/>
          <w:szCs w:val="24"/>
          <w:lang w:val="en-US"/>
        </w:rPr>
        <w:t>Este trabalho tem como objetivo expor o estado de configuração de Guerrero, com base na teoria de assimilação econômica e classificação probabilística. Esta proposta teórica e metodológica da geografia econômica contribui para a interpretação da relação a componentes sociais, econômicos e físicos em um espaço particular. A metodologia é fundamental para a construção de tipologias que resumem o comportamento dos indicadores selecionados, a fim de ponderar desproporções territoriais, que são interpretadas à luz dos cenários sócio-territorial, reconhecidos pelos postulados de assimilação econômica. Este artigo revela os níveis de onze que respondem por um processo de assimilação económica significativa nesses distritos que contêm consolidadas resorts (Acapulco e Ixtapa-Zihuatanejo), função político-administrativa (Chilpancingo), um papel notável na oferta regional de bens e serviços ou aqueles que relataram atividades agrícolas com rendimentos consideráveis.</w:t>
      </w:r>
    </w:p>
    <w:p w:rsidR="00937542" w:rsidRDefault="00937542" w:rsidP="00937542">
      <w:pPr>
        <w:spacing w:line="360" w:lineRule="auto"/>
        <w:jc w:val="both"/>
        <w:rPr>
          <w:rFonts w:ascii="Times New Roman" w:hAnsi="Times New Roman" w:cs="Times New Roman"/>
          <w:bCs/>
          <w:sz w:val="24"/>
          <w:szCs w:val="24"/>
          <w:lang w:val="en-US"/>
        </w:rPr>
      </w:pPr>
      <w:r w:rsidRPr="00937542">
        <w:rPr>
          <w:rFonts w:ascii="Calibri" w:eastAsia="SimSun" w:hAnsi="Calibri" w:cs="Arial"/>
          <w:color w:val="7030A0"/>
          <w:sz w:val="28"/>
          <w:szCs w:val="24"/>
          <w:lang w:val="es-ES" w:eastAsia="zh-CN"/>
        </w:rPr>
        <w:t>Palavras-chave:</w:t>
      </w:r>
      <w:r w:rsidRPr="00937542">
        <w:rPr>
          <w:rFonts w:ascii="Times New Roman" w:hAnsi="Times New Roman" w:cs="Times New Roman"/>
          <w:bCs/>
          <w:sz w:val="24"/>
          <w:szCs w:val="24"/>
          <w:lang w:val="en-US"/>
        </w:rPr>
        <w:t xml:space="preserve"> assimilação econômica, tipologia, território, Guerrero, México.</w:t>
      </w:r>
    </w:p>
    <w:p w:rsidR="00937542" w:rsidRDefault="00937542" w:rsidP="00937542">
      <w:pPr>
        <w:spacing w:line="480" w:lineRule="auto"/>
        <w:rPr>
          <w:rFonts w:ascii="Arial" w:hAnsi="Arial" w:cs="Arial"/>
          <w:noProof/>
          <w:sz w:val="24"/>
          <w:szCs w:val="24"/>
          <w:lang w:eastAsia="es-MX"/>
        </w:rPr>
      </w:pPr>
      <w:r w:rsidRPr="0096503C">
        <w:rPr>
          <w:rFonts w:ascii="Times New Roman" w:hAnsi="Times New Roman"/>
          <w:b/>
          <w:sz w:val="24"/>
        </w:rPr>
        <w:t>Fecha recepción:</w:t>
      </w:r>
      <w:r w:rsidRPr="0096503C">
        <w:rPr>
          <w:rFonts w:ascii="Times New Roman" w:hAnsi="Times New Roman"/>
          <w:sz w:val="24"/>
        </w:rPr>
        <w:t xml:space="preserve">   Enero 2016                                </w:t>
      </w:r>
      <w:r w:rsidRPr="0096503C">
        <w:rPr>
          <w:rFonts w:ascii="Times New Roman" w:hAnsi="Times New Roman"/>
          <w:b/>
          <w:sz w:val="24"/>
        </w:rPr>
        <w:t>Fecha aceptación:</w:t>
      </w:r>
      <w:r w:rsidRPr="0096503C">
        <w:rPr>
          <w:rFonts w:ascii="Times New Roman" w:hAnsi="Times New Roman"/>
          <w:sz w:val="24"/>
        </w:rPr>
        <w:t xml:space="preserve"> Ju</w:t>
      </w:r>
      <w:r>
        <w:rPr>
          <w:rFonts w:ascii="Times New Roman" w:hAnsi="Times New Roman"/>
          <w:sz w:val="24"/>
        </w:rPr>
        <w:t>n</w:t>
      </w:r>
      <w:r w:rsidRPr="0096503C">
        <w:rPr>
          <w:rFonts w:ascii="Times New Roman" w:hAnsi="Times New Roman"/>
          <w:sz w:val="24"/>
        </w:rPr>
        <w:t>io 2016</w:t>
      </w:r>
      <w:r w:rsidR="00614F0E">
        <w:rPr>
          <w:rFonts w:ascii="Times New Roman" w:hAnsi="Times New Roman"/>
          <w:sz w:val="24"/>
        </w:rPr>
        <w:pict>
          <v:rect id="_x0000_i1025" style="width:441.9pt;height:1.5pt" o:hralign="center" o:hrstd="t" o:hr="t" fillcolor="#a0a0a0" stroked="f"/>
        </w:pict>
      </w:r>
    </w:p>
    <w:p w:rsidR="003B4636" w:rsidRPr="00937542" w:rsidRDefault="003B4636" w:rsidP="00DB36F0">
      <w:pPr>
        <w:spacing w:line="360" w:lineRule="auto"/>
        <w:jc w:val="both"/>
        <w:rPr>
          <w:rFonts w:ascii="Calibri" w:eastAsia="SimSun" w:hAnsi="Calibri" w:cs="Arial"/>
          <w:color w:val="7030A0"/>
          <w:sz w:val="28"/>
          <w:szCs w:val="24"/>
          <w:lang w:val="es-ES" w:eastAsia="zh-CN"/>
        </w:rPr>
      </w:pPr>
      <w:r w:rsidRPr="00937542">
        <w:rPr>
          <w:rFonts w:ascii="Calibri" w:eastAsia="SimSun" w:hAnsi="Calibri" w:cs="Arial"/>
          <w:color w:val="7030A0"/>
          <w:sz w:val="28"/>
          <w:szCs w:val="24"/>
          <w:lang w:val="es-ES" w:eastAsia="zh-CN"/>
        </w:rPr>
        <w:lastRenderedPageBreak/>
        <w:t>Introducción</w:t>
      </w:r>
    </w:p>
    <w:p w:rsidR="00EA6FD5" w:rsidRPr="00DB36F0" w:rsidRDefault="00D442AB"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La evolución geo-histórica acaecida sobre un entorno físico variado, ha dado un carácter especial y propio a Guerrero. Así lo permiten vislumbrar los contrastes socioeconómicos que prevalecen entre sus distintos municipios. De la región Norte a la Costa y de la Montaña a la Tierra Caliente, la entidad es biodiversa y cuenta con un vasto patrimonio histórico-etnográfico-cultural que le confiere un lugar significativo dentro de la vida nacional. Sin embargo, sólo unos cuantos sitios, entre ellos Acapulco, Ixtapa-Zihuatanejo, Chilpancingo, Iguala y Taxco</w:t>
      </w:r>
      <w:r w:rsidR="00522D6A">
        <w:rPr>
          <w:rFonts w:ascii="Times New Roman" w:hAnsi="Times New Roman" w:cs="Times New Roman"/>
          <w:bCs/>
          <w:sz w:val="24"/>
          <w:szCs w:val="24"/>
        </w:rPr>
        <w:t>,</w:t>
      </w:r>
      <w:r w:rsidRPr="00DB36F0">
        <w:rPr>
          <w:rFonts w:ascii="Times New Roman" w:hAnsi="Times New Roman" w:cs="Times New Roman"/>
          <w:bCs/>
          <w:sz w:val="24"/>
          <w:szCs w:val="24"/>
        </w:rPr>
        <w:t xml:space="preserve"> detentan la mayor concentración de habitantes, inversiones económicas y actividades productivas rentables, sobre todo pertenecientes al sector terciario. Asimismo, estas demarcaciones albergan los núcleos urbanos más importantes de la entidad. En la mayoría de ellos, la expansión económico-demográfica reciente se debe a su actividad</w:t>
      </w:r>
      <w:r w:rsidR="00657CDF" w:rsidRPr="00DB36F0">
        <w:rPr>
          <w:rFonts w:ascii="Times New Roman" w:hAnsi="Times New Roman" w:cs="Times New Roman"/>
          <w:bCs/>
          <w:sz w:val="24"/>
          <w:szCs w:val="24"/>
        </w:rPr>
        <w:t xml:space="preserve"> turística,</w:t>
      </w:r>
      <w:r w:rsidRPr="00DB36F0">
        <w:rPr>
          <w:rFonts w:ascii="Times New Roman" w:hAnsi="Times New Roman" w:cs="Times New Roman"/>
          <w:bCs/>
          <w:sz w:val="24"/>
          <w:szCs w:val="24"/>
        </w:rPr>
        <w:t xml:space="preserve"> su </w:t>
      </w:r>
      <w:r w:rsidR="00657CDF" w:rsidRPr="00DB36F0">
        <w:rPr>
          <w:rFonts w:ascii="Times New Roman" w:hAnsi="Times New Roman" w:cs="Times New Roman"/>
          <w:bCs/>
          <w:sz w:val="24"/>
          <w:szCs w:val="24"/>
        </w:rPr>
        <w:t>función político-administrativa o bien su papel notable en el abastecimiento regional de bienes y servicios.</w:t>
      </w:r>
    </w:p>
    <w:p w:rsidR="00657CDF" w:rsidRPr="00DB36F0" w:rsidRDefault="001E0A0E"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La presente investigación examina las particula</w:t>
      </w:r>
      <w:r w:rsidR="000B14C6">
        <w:rPr>
          <w:rFonts w:ascii="Times New Roman" w:hAnsi="Times New Roman" w:cs="Times New Roman"/>
          <w:bCs/>
          <w:sz w:val="24"/>
          <w:szCs w:val="24"/>
        </w:rPr>
        <w:t xml:space="preserve">ridades económico-territoriales </w:t>
      </w:r>
      <w:r w:rsidRPr="00DB36F0">
        <w:rPr>
          <w:rFonts w:ascii="Times New Roman" w:hAnsi="Times New Roman" w:cs="Times New Roman"/>
          <w:bCs/>
          <w:sz w:val="24"/>
          <w:szCs w:val="24"/>
        </w:rPr>
        <w:t>del estado de Guerrero, desde la óptica de la asimilación económica y la tipificación probabilística. Ambos referentes cognoscitivos son básicos para el análisis integral de las características socio-territoriales de una entidad como Guerrero, ya que el enfoque sistémico de la asimilación, así como la confección de tipología y cartografía temática</w:t>
      </w:r>
      <w:r w:rsidR="000B14C6">
        <w:rPr>
          <w:rFonts w:ascii="Times New Roman" w:hAnsi="Times New Roman" w:cs="Times New Roman"/>
          <w:bCs/>
          <w:sz w:val="24"/>
          <w:szCs w:val="24"/>
        </w:rPr>
        <w:t>,</w:t>
      </w:r>
      <w:r w:rsidRPr="00DB36F0">
        <w:rPr>
          <w:rFonts w:ascii="Times New Roman" w:hAnsi="Times New Roman" w:cs="Times New Roman"/>
          <w:bCs/>
          <w:sz w:val="24"/>
          <w:szCs w:val="24"/>
        </w:rPr>
        <w:t xml:space="preserve"> es un aporte substancial a la elucidación de las disparidades regionales de esta entidad mexicana.</w:t>
      </w:r>
      <w:r w:rsidR="000A0152" w:rsidRPr="00DB36F0">
        <w:rPr>
          <w:rFonts w:ascii="Times New Roman" w:hAnsi="Times New Roman" w:cs="Times New Roman"/>
          <w:bCs/>
          <w:sz w:val="24"/>
          <w:szCs w:val="24"/>
        </w:rPr>
        <w:t xml:space="preserve"> El trabajo está estructurado de la manera siguiente: en el primer apartado se exponen las princi</w:t>
      </w:r>
      <w:r w:rsidR="000B3D88">
        <w:rPr>
          <w:rFonts w:ascii="Times New Roman" w:hAnsi="Times New Roman" w:cs="Times New Roman"/>
          <w:bCs/>
          <w:sz w:val="24"/>
          <w:szCs w:val="24"/>
        </w:rPr>
        <w:t xml:space="preserve">pales características </w:t>
      </w:r>
      <w:r w:rsidR="000A0152" w:rsidRPr="00DB36F0">
        <w:rPr>
          <w:rFonts w:ascii="Times New Roman" w:hAnsi="Times New Roman" w:cs="Times New Roman"/>
          <w:bCs/>
          <w:sz w:val="24"/>
          <w:szCs w:val="24"/>
        </w:rPr>
        <w:t>socioeconómicas que distinguen al estado de Guerrero. En las secciones subsecuentes se acotan los antecedentes cognoscitivos de esta investigación, se explican las particularidades metodológicas de la tipificación probabilística y se revelan los niveles de asimilación económica hallados en los municipios guerrerenses.</w:t>
      </w:r>
    </w:p>
    <w:p w:rsidR="00236013" w:rsidRPr="00DB36F0" w:rsidRDefault="000B3D88" w:rsidP="00DB36F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Características socioeconómicas</w:t>
      </w:r>
      <w:r w:rsidR="00236013" w:rsidRPr="00DB36F0">
        <w:rPr>
          <w:rFonts w:ascii="Times New Roman" w:hAnsi="Times New Roman" w:cs="Times New Roman"/>
          <w:b/>
          <w:bCs/>
          <w:sz w:val="24"/>
          <w:szCs w:val="24"/>
        </w:rPr>
        <w:t xml:space="preserve"> de Guerrero</w:t>
      </w:r>
    </w:p>
    <w:p w:rsidR="00236013" w:rsidRDefault="00236013"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 xml:space="preserve">Guerrero se localiza al sur de la </w:t>
      </w:r>
      <w:r w:rsidR="00EC08CC">
        <w:rPr>
          <w:rFonts w:ascii="Times New Roman" w:hAnsi="Times New Roman" w:cs="Times New Roman"/>
          <w:bCs/>
          <w:sz w:val="24"/>
          <w:szCs w:val="24"/>
        </w:rPr>
        <w:t>r</w:t>
      </w:r>
      <w:r w:rsidRPr="00DB36F0">
        <w:rPr>
          <w:rFonts w:ascii="Times New Roman" w:hAnsi="Times New Roman" w:cs="Times New Roman"/>
          <w:bCs/>
          <w:sz w:val="24"/>
          <w:szCs w:val="24"/>
        </w:rPr>
        <w:t xml:space="preserve">epública </w:t>
      </w:r>
      <w:r w:rsidR="00EC08CC">
        <w:rPr>
          <w:rFonts w:ascii="Times New Roman" w:hAnsi="Times New Roman" w:cs="Times New Roman"/>
          <w:bCs/>
          <w:sz w:val="24"/>
          <w:szCs w:val="24"/>
        </w:rPr>
        <w:t>m</w:t>
      </w:r>
      <w:r w:rsidRPr="00DB36F0">
        <w:rPr>
          <w:rFonts w:ascii="Times New Roman" w:hAnsi="Times New Roman" w:cs="Times New Roman"/>
          <w:bCs/>
          <w:sz w:val="24"/>
          <w:szCs w:val="24"/>
        </w:rPr>
        <w:t>exicana</w:t>
      </w:r>
      <w:r w:rsidR="00EC08CC">
        <w:rPr>
          <w:rFonts w:ascii="Times New Roman" w:hAnsi="Times New Roman" w:cs="Times New Roman"/>
          <w:bCs/>
          <w:sz w:val="24"/>
          <w:szCs w:val="24"/>
        </w:rPr>
        <w:t xml:space="preserve"> y t</w:t>
      </w:r>
      <w:r w:rsidRPr="00DB36F0">
        <w:rPr>
          <w:rFonts w:ascii="Times New Roman" w:hAnsi="Times New Roman" w:cs="Times New Roman"/>
          <w:bCs/>
          <w:sz w:val="24"/>
          <w:szCs w:val="24"/>
        </w:rPr>
        <w:t>iene una superficie de 63 794 km</w:t>
      </w:r>
      <w:r w:rsidRPr="00DB36F0">
        <w:rPr>
          <w:rFonts w:ascii="Times New Roman" w:hAnsi="Times New Roman" w:cs="Times New Roman"/>
          <w:bCs/>
          <w:sz w:val="24"/>
          <w:szCs w:val="24"/>
          <w:vertAlign w:val="superscript"/>
        </w:rPr>
        <w:t>2</w:t>
      </w:r>
      <w:r w:rsidRPr="00DB36F0">
        <w:rPr>
          <w:rFonts w:ascii="Times New Roman" w:hAnsi="Times New Roman" w:cs="Times New Roman"/>
          <w:bCs/>
          <w:sz w:val="24"/>
          <w:szCs w:val="24"/>
        </w:rPr>
        <w:t xml:space="preserve"> (3.2</w:t>
      </w:r>
      <w:r w:rsidR="00EC08CC">
        <w:rPr>
          <w:rFonts w:ascii="Times New Roman" w:hAnsi="Times New Roman" w:cs="Times New Roman"/>
          <w:bCs/>
          <w:sz w:val="24"/>
          <w:szCs w:val="24"/>
        </w:rPr>
        <w:t xml:space="preserve"> </w:t>
      </w:r>
      <w:r w:rsidRPr="00DB36F0">
        <w:rPr>
          <w:rFonts w:ascii="Times New Roman" w:hAnsi="Times New Roman" w:cs="Times New Roman"/>
          <w:bCs/>
          <w:sz w:val="24"/>
          <w:szCs w:val="24"/>
        </w:rPr>
        <w:t>% del territorio nacional). La entidad se divide en las regiones siguientes: Norte, Centro, Acapulco, Tierra Caliente, Montaña, Costa Grande y Costa Chica. La Montaña concentra el mayor número de municipios, diecinueve en total</w:t>
      </w:r>
      <w:r w:rsidR="00021F1B">
        <w:rPr>
          <w:rFonts w:ascii="Times New Roman" w:hAnsi="Times New Roman" w:cs="Times New Roman"/>
          <w:bCs/>
          <w:sz w:val="24"/>
          <w:szCs w:val="24"/>
        </w:rPr>
        <w:t xml:space="preserve"> (</w:t>
      </w:r>
      <w:r w:rsidR="003765D6">
        <w:rPr>
          <w:rFonts w:ascii="Times New Roman" w:hAnsi="Times New Roman" w:cs="Times New Roman"/>
          <w:bCs/>
          <w:sz w:val="24"/>
          <w:szCs w:val="24"/>
        </w:rPr>
        <w:t>f</w:t>
      </w:r>
      <w:r w:rsidR="00021F1B">
        <w:rPr>
          <w:rFonts w:ascii="Times New Roman" w:hAnsi="Times New Roman" w:cs="Times New Roman"/>
          <w:bCs/>
          <w:sz w:val="24"/>
          <w:szCs w:val="24"/>
        </w:rPr>
        <w:t>igura 1)</w:t>
      </w:r>
      <w:r w:rsidR="00331315">
        <w:rPr>
          <w:rFonts w:ascii="Times New Roman" w:hAnsi="Times New Roman" w:cs="Times New Roman"/>
          <w:bCs/>
          <w:sz w:val="24"/>
          <w:szCs w:val="24"/>
        </w:rPr>
        <w:t xml:space="preserve"> (Gobierno del </w:t>
      </w:r>
      <w:r w:rsidR="00EC08CC">
        <w:rPr>
          <w:rFonts w:ascii="Times New Roman" w:hAnsi="Times New Roman" w:cs="Times New Roman"/>
          <w:bCs/>
          <w:sz w:val="24"/>
          <w:szCs w:val="24"/>
        </w:rPr>
        <w:t>e</w:t>
      </w:r>
      <w:r w:rsidR="00331315">
        <w:rPr>
          <w:rFonts w:ascii="Times New Roman" w:hAnsi="Times New Roman" w:cs="Times New Roman"/>
          <w:bCs/>
          <w:sz w:val="24"/>
          <w:szCs w:val="24"/>
        </w:rPr>
        <w:t>stado de Guerrero, 2016)</w:t>
      </w:r>
      <w:r w:rsidRPr="00DB36F0">
        <w:rPr>
          <w:rFonts w:ascii="Times New Roman" w:hAnsi="Times New Roman" w:cs="Times New Roman"/>
          <w:bCs/>
          <w:sz w:val="24"/>
          <w:szCs w:val="24"/>
        </w:rPr>
        <w:t xml:space="preserve">. Junto con la Costa Chica constituyen las áreas con presencia significativa de población indígena. En 2010, </w:t>
      </w:r>
      <w:r w:rsidRPr="00DB36F0">
        <w:rPr>
          <w:rFonts w:ascii="Times New Roman" w:hAnsi="Times New Roman" w:cs="Times New Roman"/>
          <w:bCs/>
          <w:sz w:val="24"/>
          <w:szCs w:val="24"/>
        </w:rPr>
        <w:lastRenderedPageBreak/>
        <w:t>ésta sumó 475 099 personas, 7</w:t>
      </w:r>
      <w:r w:rsidR="003765D6">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 del total nacional. </w:t>
      </w:r>
      <w:r w:rsidR="00EC08CC">
        <w:rPr>
          <w:rFonts w:ascii="Times New Roman" w:hAnsi="Times New Roman" w:cs="Times New Roman"/>
          <w:bCs/>
          <w:sz w:val="24"/>
          <w:szCs w:val="24"/>
        </w:rPr>
        <w:t xml:space="preserve">Asimismo, </w:t>
      </w:r>
      <w:r w:rsidRPr="00DB36F0">
        <w:rPr>
          <w:rFonts w:ascii="Times New Roman" w:hAnsi="Times New Roman" w:cs="Times New Roman"/>
          <w:bCs/>
          <w:sz w:val="24"/>
          <w:szCs w:val="24"/>
        </w:rPr>
        <w:t>36</w:t>
      </w:r>
      <w:r w:rsidR="003765D6">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 </w:t>
      </w:r>
      <w:r w:rsidR="00EC08CC">
        <w:rPr>
          <w:rFonts w:ascii="Times New Roman" w:hAnsi="Times New Roman" w:cs="Times New Roman"/>
          <w:bCs/>
          <w:sz w:val="24"/>
          <w:szCs w:val="24"/>
        </w:rPr>
        <w:t>eran</w:t>
      </w:r>
      <w:r w:rsidRPr="00DB36F0">
        <w:rPr>
          <w:rFonts w:ascii="Times New Roman" w:hAnsi="Times New Roman" w:cs="Times New Roman"/>
          <w:bCs/>
          <w:sz w:val="24"/>
          <w:szCs w:val="24"/>
        </w:rPr>
        <w:t xml:space="preserve"> nahua</w:t>
      </w:r>
      <w:r w:rsidR="00EC08CC">
        <w:rPr>
          <w:rFonts w:ascii="Times New Roman" w:hAnsi="Times New Roman" w:cs="Times New Roman"/>
          <w:bCs/>
          <w:sz w:val="24"/>
          <w:szCs w:val="24"/>
        </w:rPr>
        <w:t>s</w:t>
      </w:r>
      <w:r w:rsidRPr="00DB36F0">
        <w:rPr>
          <w:rFonts w:ascii="Times New Roman" w:hAnsi="Times New Roman" w:cs="Times New Roman"/>
          <w:bCs/>
          <w:sz w:val="24"/>
          <w:szCs w:val="24"/>
        </w:rPr>
        <w:t>, 29</w:t>
      </w:r>
      <w:r w:rsidR="003765D6">
        <w:rPr>
          <w:rFonts w:ascii="Times New Roman" w:hAnsi="Times New Roman" w:cs="Times New Roman"/>
          <w:bCs/>
          <w:sz w:val="24"/>
          <w:szCs w:val="24"/>
        </w:rPr>
        <w:t xml:space="preserve"> </w:t>
      </w:r>
      <w:r w:rsidRPr="00DB36F0">
        <w:rPr>
          <w:rFonts w:ascii="Times New Roman" w:hAnsi="Times New Roman" w:cs="Times New Roman"/>
          <w:bCs/>
          <w:sz w:val="24"/>
          <w:szCs w:val="24"/>
        </w:rPr>
        <w:t>% mixtecos, 25</w:t>
      </w:r>
      <w:r w:rsidR="003765D6">
        <w:rPr>
          <w:rFonts w:ascii="Times New Roman" w:hAnsi="Times New Roman" w:cs="Times New Roman"/>
          <w:bCs/>
          <w:sz w:val="24"/>
          <w:szCs w:val="24"/>
        </w:rPr>
        <w:t xml:space="preserve"> </w:t>
      </w:r>
      <w:r w:rsidRPr="00DB36F0">
        <w:rPr>
          <w:rFonts w:ascii="Times New Roman" w:hAnsi="Times New Roman" w:cs="Times New Roman"/>
          <w:bCs/>
          <w:sz w:val="24"/>
          <w:szCs w:val="24"/>
        </w:rPr>
        <w:t>% tlapanecos y 9</w:t>
      </w:r>
      <w:r w:rsidR="003765D6">
        <w:rPr>
          <w:rFonts w:ascii="Times New Roman" w:hAnsi="Times New Roman" w:cs="Times New Roman"/>
          <w:bCs/>
          <w:sz w:val="24"/>
          <w:szCs w:val="24"/>
        </w:rPr>
        <w:t xml:space="preserve"> </w:t>
      </w:r>
      <w:r w:rsidRPr="00DB36F0">
        <w:rPr>
          <w:rFonts w:ascii="Times New Roman" w:hAnsi="Times New Roman" w:cs="Times New Roman"/>
          <w:bCs/>
          <w:sz w:val="24"/>
          <w:szCs w:val="24"/>
        </w:rPr>
        <w:t>% a</w:t>
      </w:r>
      <w:r w:rsidR="000B3D88">
        <w:rPr>
          <w:rFonts w:ascii="Times New Roman" w:hAnsi="Times New Roman" w:cs="Times New Roman"/>
          <w:bCs/>
          <w:sz w:val="24"/>
          <w:szCs w:val="24"/>
        </w:rPr>
        <w:t>muzgos (INEGI, 2016).</w:t>
      </w:r>
    </w:p>
    <w:p w:rsidR="00937542" w:rsidRPr="0014537D" w:rsidRDefault="00937542" w:rsidP="00937542">
      <w:pPr>
        <w:spacing w:line="360" w:lineRule="auto"/>
        <w:jc w:val="center"/>
        <w:rPr>
          <w:rFonts w:ascii="Times New Roman" w:hAnsi="Times New Roman" w:cs="Times New Roman"/>
          <w:b/>
          <w:bCs/>
          <w:sz w:val="20"/>
          <w:szCs w:val="20"/>
        </w:rPr>
      </w:pPr>
      <w:r w:rsidRPr="00937542">
        <w:rPr>
          <w:rFonts w:ascii="Times New Roman" w:hAnsi="Times New Roman" w:cs="Times New Roman"/>
          <w:b/>
          <w:bCs/>
          <w:sz w:val="24"/>
          <w:szCs w:val="20"/>
        </w:rPr>
        <w:t xml:space="preserve"> Figura 1. </w:t>
      </w:r>
      <w:r w:rsidRPr="00937542">
        <w:rPr>
          <w:rFonts w:ascii="Times New Roman" w:hAnsi="Times New Roman" w:cs="Times New Roman"/>
          <w:bCs/>
          <w:sz w:val="24"/>
          <w:szCs w:val="20"/>
        </w:rPr>
        <w:t>Guerrero: división político-administrativa, 2010</w:t>
      </w:r>
    </w:p>
    <w:p w:rsidR="00937542" w:rsidRDefault="00E041EC" w:rsidP="00E041EC">
      <w:pPr>
        <w:spacing w:line="360" w:lineRule="auto"/>
        <w:rPr>
          <w:rFonts w:ascii="Calibri" w:eastAsia="Calibri" w:hAnsi="Calibri" w:cs="Times New Roman"/>
          <w:noProof/>
          <w:lang w:eastAsia="es-MX"/>
        </w:rPr>
      </w:pPr>
      <w:r w:rsidRPr="00951BCC">
        <w:rPr>
          <w:rFonts w:ascii="Calibri" w:eastAsia="Calibri" w:hAnsi="Calibri" w:cs="Times New Roman"/>
          <w:noProof/>
          <w:lang w:eastAsia="es-MX"/>
        </w:rPr>
        <w:t xml:space="preserve"> </w:t>
      </w:r>
      <w:r w:rsidR="00937542" w:rsidRPr="00951BCC">
        <w:rPr>
          <w:rFonts w:ascii="Calibri" w:eastAsia="Calibri" w:hAnsi="Calibri" w:cs="Times New Roman"/>
          <w:noProof/>
          <w:lang w:eastAsia="es-MX"/>
        </w:rPr>
        <w:drawing>
          <wp:inline distT="0" distB="0" distL="0" distR="0" wp14:anchorId="50768D21" wp14:editId="6F10FBFC">
            <wp:extent cx="6214425" cy="5067300"/>
            <wp:effectExtent l="0" t="0" r="0" b="0"/>
            <wp:docPr id="9" name="Imagen 9" descr="Guerr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errer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19805" cy="5071687"/>
                    </a:xfrm>
                    <a:prstGeom prst="rect">
                      <a:avLst/>
                    </a:prstGeom>
                    <a:noFill/>
                    <a:ln>
                      <a:noFill/>
                    </a:ln>
                  </pic:spPr>
                </pic:pic>
              </a:graphicData>
            </a:graphic>
          </wp:inline>
        </w:drawing>
      </w:r>
    </w:p>
    <w:p w:rsidR="00937542" w:rsidRPr="00E041EC" w:rsidRDefault="00937542" w:rsidP="00937542">
      <w:pPr>
        <w:jc w:val="center"/>
        <w:rPr>
          <w:rFonts w:ascii="Times New Roman" w:hAnsi="Times New Roman" w:cs="Times New Roman"/>
          <w:sz w:val="18"/>
          <w:szCs w:val="18"/>
        </w:rPr>
      </w:pPr>
      <w:r w:rsidRPr="00937542">
        <w:rPr>
          <w:rFonts w:ascii="Times New Roman" w:hAnsi="Times New Roman" w:cs="Times New Roman"/>
          <w:sz w:val="24"/>
          <w:szCs w:val="18"/>
        </w:rPr>
        <w:t>Fuente: elaborado con base en INEGI, 2016.</w:t>
      </w:r>
    </w:p>
    <w:p w:rsidR="00236013" w:rsidRPr="001C5DF2" w:rsidRDefault="00236013" w:rsidP="00DB36F0">
      <w:pPr>
        <w:spacing w:line="360" w:lineRule="auto"/>
        <w:jc w:val="both"/>
        <w:rPr>
          <w:rFonts w:ascii="Times New Roman" w:hAnsi="Times New Roman" w:cs="Times New Roman"/>
          <w:bCs/>
          <w:sz w:val="24"/>
          <w:szCs w:val="24"/>
        </w:rPr>
      </w:pPr>
      <w:r w:rsidRPr="001C5DF2">
        <w:rPr>
          <w:rFonts w:ascii="Times New Roman" w:hAnsi="Times New Roman" w:cs="Times New Roman"/>
          <w:bCs/>
          <w:sz w:val="24"/>
          <w:szCs w:val="24"/>
        </w:rPr>
        <w:t>El estado de Guerrero tiene 3 388 768 habitantes (3</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de la población mexicana). Del total de guerrerenses, 23</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reside en Acapulco (789 971 habitantes), 7</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Chilpancingo (241 717 habitantes), 4.1</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Iguala (140 363 habitantes), 3.6</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Chilapa (120 790 habitantes), 3.5</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Zihuatanejo de Azueta (118 211 habitantes), 3.1</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Taxco (104 053 habitantes), 2.4</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en Tlapa (81 419 habitantes) y 2.2</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xml:space="preserve">% en Coyuca de Benítez (73 460 habitantes). Esos ocho </w:t>
      </w:r>
      <w:r w:rsidRPr="001C5DF2">
        <w:rPr>
          <w:rFonts w:ascii="Times New Roman" w:hAnsi="Times New Roman" w:cs="Times New Roman"/>
          <w:bCs/>
          <w:sz w:val="24"/>
          <w:szCs w:val="24"/>
        </w:rPr>
        <w:lastRenderedPageBreak/>
        <w:t>municipios concentran 49</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de la población estatal. El resto se distribuye en las otras 73 circunscripciones, de las cuales 54 no rebasan individualmente</w:t>
      </w:r>
      <w:r w:rsidR="00051211">
        <w:rPr>
          <w:rFonts w:ascii="Times New Roman" w:hAnsi="Times New Roman" w:cs="Times New Roman"/>
          <w:bCs/>
          <w:sz w:val="24"/>
          <w:szCs w:val="24"/>
        </w:rPr>
        <w:t xml:space="preserve"> al</w:t>
      </w:r>
      <w:r w:rsidRPr="001C5DF2">
        <w:rPr>
          <w:rFonts w:ascii="Times New Roman" w:hAnsi="Times New Roman" w:cs="Times New Roman"/>
          <w:bCs/>
          <w:sz w:val="24"/>
          <w:szCs w:val="24"/>
        </w:rPr>
        <w:t xml:space="preserve"> 1</w:t>
      </w:r>
      <w:r w:rsidR="003765D6">
        <w:rPr>
          <w:rFonts w:ascii="Times New Roman" w:hAnsi="Times New Roman" w:cs="Times New Roman"/>
          <w:bCs/>
          <w:sz w:val="24"/>
          <w:szCs w:val="24"/>
        </w:rPr>
        <w:t xml:space="preserve"> </w:t>
      </w:r>
      <w:r w:rsidRPr="001C5DF2">
        <w:rPr>
          <w:rFonts w:ascii="Times New Roman" w:hAnsi="Times New Roman" w:cs="Times New Roman"/>
          <w:bCs/>
          <w:sz w:val="24"/>
          <w:szCs w:val="24"/>
        </w:rPr>
        <w:t xml:space="preserve">% del total de guerrerenses (INEGI, 2016). </w:t>
      </w:r>
    </w:p>
    <w:p w:rsidR="00236013" w:rsidRPr="00DB36F0" w:rsidRDefault="00236013"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 xml:space="preserve">Sólo unos cuantos municipios han recibido impulso federal, estatal y del capital privado, relacionado con actividades como el turismo, la minería o las agroindustrias, entre ellos Acapulco, Iguala, Zihuatanejo de </w:t>
      </w:r>
      <w:r w:rsidR="000B3D88">
        <w:rPr>
          <w:rFonts w:ascii="Times New Roman" w:hAnsi="Times New Roman" w:cs="Times New Roman"/>
          <w:bCs/>
          <w:sz w:val="24"/>
          <w:szCs w:val="24"/>
        </w:rPr>
        <w:t>Azueta, Taxco y Eduardo Neri</w:t>
      </w:r>
      <w:r w:rsidRPr="00DB36F0">
        <w:rPr>
          <w:rFonts w:ascii="Times New Roman" w:hAnsi="Times New Roman" w:cs="Times New Roman"/>
          <w:bCs/>
          <w:sz w:val="24"/>
          <w:szCs w:val="24"/>
        </w:rPr>
        <w:t xml:space="preserve">. Asimismo, hay pocos espacios que deben su relevancia territorial a la función político-administrativa (Chilpancingo), además han desempeñado un papel fundamental en el abastecimiento regional de bienes y servicios (Tixtla, Tlapa, Arcelia, Teloloapan, Atoyac de Álvarez, Petatlán) (García, 2011). </w:t>
      </w:r>
    </w:p>
    <w:p w:rsidR="00236013" w:rsidRPr="00DB36F0" w:rsidRDefault="00236013"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 xml:space="preserve">El estado ha mostrado un constante éxodo de campesinos que buscan mejores ingresos en las principales ciudades de Guerrero, en otras entidades federativas o en Estados Unidos. Cada año, aproximadamente, 73 000 guerrerenses se desplazan a Oregón, California, Arizona, Mississippi, Florida, Nueva York, Virginia o Carolina del Norte. También, cada verano cerca de 128 000 jornaleros del estado emigran para laborar en los campos agrícolas de Sonora, Chihuahua, Baja California o Sinaloa. En años recientes, el territorio guerrerense se ha posicionado entre las cinco entidades de la </w:t>
      </w:r>
      <w:r w:rsidR="00512EDD">
        <w:rPr>
          <w:rFonts w:ascii="Times New Roman" w:hAnsi="Times New Roman" w:cs="Times New Roman"/>
          <w:bCs/>
          <w:sz w:val="24"/>
          <w:szCs w:val="24"/>
        </w:rPr>
        <w:t>r</w:t>
      </w:r>
      <w:r w:rsidRPr="00DB36F0">
        <w:rPr>
          <w:rFonts w:ascii="Times New Roman" w:hAnsi="Times New Roman" w:cs="Times New Roman"/>
          <w:bCs/>
          <w:sz w:val="24"/>
          <w:szCs w:val="24"/>
        </w:rPr>
        <w:t xml:space="preserve">epública </w:t>
      </w:r>
      <w:r w:rsidR="00512EDD">
        <w:rPr>
          <w:rFonts w:ascii="Times New Roman" w:hAnsi="Times New Roman" w:cs="Times New Roman"/>
          <w:bCs/>
          <w:sz w:val="24"/>
          <w:szCs w:val="24"/>
        </w:rPr>
        <w:t>m</w:t>
      </w:r>
      <w:r w:rsidRPr="00DB36F0">
        <w:rPr>
          <w:rFonts w:ascii="Times New Roman" w:hAnsi="Times New Roman" w:cs="Times New Roman"/>
          <w:bCs/>
          <w:sz w:val="24"/>
          <w:szCs w:val="24"/>
        </w:rPr>
        <w:t xml:space="preserve">exicana que presentan mayor emigración (INEGI, 2016). </w:t>
      </w:r>
    </w:p>
    <w:p w:rsidR="00236013" w:rsidRPr="00DB36F0" w:rsidRDefault="00236013"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De acuerdo con el Consejo Nacional de Evaluación de la Política de Desarrollo Social (CONEVAL), en Guerrero hay 1 112 000 personas en situación de pobreza extrema, esto es 31.7</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de los guerrerenses. En la entidad, 78.5</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de los habitantes tiene carencias vinculadas con el acceso a la seguridad social; 59</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asociadas con los servicios básicos en sus viviendas; 39.4% ligadas con el acceso a la alimentación; 33.4</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relacionadas con la calidad y dimensiones de la vivienda; 26.8</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presenta rezago educativo y 25.4</w:t>
      </w:r>
      <w:r w:rsidR="00BA73D8">
        <w:rPr>
          <w:rFonts w:ascii="Times New Roman" w:hAnsi="Times New Roman" w:cs="Times New Roman"/>
          <w:bCs/>
          <w:sz w:val="24"/>
          <w:szCs w:val="24"/>
        </w:rPr>
        <w:t xml:space="preserve"> </w:t>
      </w:r>
      <w:r w:rsidRPr="00DB36F0">
        <w:rPr>
          <w:rFonts w:ascii="Times New Roman" w:hAnsi="Times New Roman" w:cs="Times New Roman"/>
          <w:bCs/>
          <w:sz w:val="24"/>
          <w:szCs w:val="24"/>
        </w:rPr>
        <w:t>% muestra deficiencias en el acceso a los servicios de salud (CONEVAL, 2016).</w:t>
      </w:r>
    </w:p>
    <w:p w:rsidR="00937542" w:rsidRDefault="00937542" w:rsidP="00DB36F0">
      <w:pPr>
        <w:spacing w:line="360" w:lineRule="auto"/>
        <w:jc w:val="both"/>
        <w:rPr>
          <w:rFonts w:ascii="Times New Roman" w:hAnsi="Times New Roman" w:cs="Times New Roman"/>
          <w:b/>
          <w:bCs/>
          <w:sz w:val="24"/>
          <w:szCs w:val="24"/>
        </w:rPr>
      </w:pPr>
    </w:p>
    <w:p w:rsidR="00937542" w:rsidRDefault="00937542" w:rsidP="00DB36F0">
      <w:pPr>
        <w:spacing w:line="360" w:lineRule="auto"/>
        <w:jc w:val="both"/>
        <w:rPr>
          <w:rFonts w:ascii="Times New Roman" w:hAnsi="Times New Roman" w:cs="Times New Roman"/>
          <w:b/>
          <w:bCs/>
          <w:sz w:val="24"/>
          <w:szCs w:val="24"/>
        </w:rPr>
      </w:pPr>
    </w:p>
    <w:p w:rsidR="00937542" w:rsidRDefault="00937542" w:rsidP="00DB36F0">
      <w:pPr>
        <w:spacing w:line="360" w:lineRule="auto"/>
        <w:jc w:val="both"/>
        <w:rPr>
          <w:rFonts w:ascii="Times New Roman" w:hAnsi="Times New Roman" w:cs="Times New Roman"/>
          <w:b/>
          <w:bCs/>
          <w:sz w:val="24"/>
          <w:szCs w:val="24"/>
        </w:rPr>
      </w:pPr>
    </w:p>
    <w:p w:rsidR="00937542" w:rsidRDefault="00937542" w:rsidP="00DB36F0">
      <w:pPr>
        <w:spacing w:line="360" w:lineRule="auto"/>
        <w:jc w:val="both"/>
        <w:rPr>
          <w:rFonts w:ascii="Times New Roman" w:hAnsi="Times New Roman" w:cs="Times New Roman"/>
          <w:b/>
          <w:bCs/>
          <w:sz w:val="24"/>
          <w:szCs w:val="24"/>
        </w:rPr>
      </w:pPr>
    </w:p>
    <w:p w:rsidR="00937542" w:rsidRDefault="00937542" w:rsidP="00DB36F0">
      <w:pPr>
        <w:spacing w:line="360" w:lineRule="auto"/>
        <w:jc w:val="both"/>
        <w:rPr>
          <w:rFonts w:ascii="Times New Roman" w:hAnsi="Times New Roman" w:cs="Times New Roman"/>
          <w:b/>
          <w:bCs/>
          <w:sz w:val="24"/>
          <w:szCs w:val="24"/>
        </w:rPr>
      </w:pPr>
    </w:p>
    <w:p w:rsidR="009811D5" w:rsidRPr="00DB36F0" w:rsidRDefault="009811D5" w:rsidP="00DB36F0">
      <w:pPr>
        <w:spacing w:line="360" w:lineRule="auto"/>
        <w:jc w:val="both"/>
        <w:rPr>
          <w:rFonts w:ascii="Times New Roman" w:hAnsi="Times New Roman" w:cs="Times New Roman"/>
          <w:b/>
          <w:bCs/>
          <w:sz w:val="24"/>
          <w:szCs w:val="24"/>
        </w:rPr>
      </w:pPr>
      <w:r w:rsidRPr="00DB36F0">
        <w:rPr>
          <w:rFonts w:ascii="Times New Roman" w:hAnsi="Times New Roman" w:cs="Times New Roman"/>
          <w:b/>
          <w:bCs/>
          <w:sz w:val="24"/>
          <w:szCs w:val="24"/>
        </w:rPr>
        <w:lastRenderedPageBreak/>
        <w:t>Sustento cognoscitivo</w:t>
      </w:r>
    </w:p>
    <w:p w:rsidR="00C55B8F" w:rsidRPr="00DB36F0" w:rsidRDefault="00C55B8F"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 xml:space="preserve">En la literatura especializada se señala que la asimilación económica debe ser concebida como la gradual incorporación de distintos espacios a la vida económica del territorio al que pertenecen. Las particularidades de esa integración son resultado del momento en que tiene lugar, las relaciones sociales en las que se inscribe y las características físicas del espacio en cuestión. En relación con estos factores, es importante especificar las cuestiones siguientes: primero, con frecuencia acontecen simultáneos procesos de asimilación económica en un territorio, situación asociada con los diferentes estadios de desarrollo de las fuerzas productivas inherentes a él. Segundo, también suele presentarse el abandono de algunos sitios ya asimilados; debido, generalmente, al agotamiento, destrucción o pérdida del valor de sus recursos naturales (García, 1993). </w:t>
      </w:r>
    </w:p>
    <w:p w:rsidR="00C55B8F" w:rsidRPr="00DB36F0" w:rsidRDefault="00EB3BE7" w:rsidP="00DB36F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La teoría de la asimilación e</w:t>
      </w:r>
      <w:r w:rsidR="00C55B8F" w:rsidRPr="00DB36F0">
        <w:rPr>
          <w:rFonts w:ascii="Times New Roman" w:hAnsi="Times New Roman" w:cs="Times New Roman"/>
          <w:bCs/>
          <w:sz w:val="24"/>
          <w:szCs w:val="24"/>
        </w:rPr>
        <w:t>conómica tiene como objetivo fundamental revelar el grado de dominio que se tiene sobre un territorio mediante la evaluación de la intensidad de utilización de éste, el nivel de desarrollo de sus fuerzas productivas, la historia de poblamiento y otras particularidades del territorio abordado (Zailsev, 1972 citado por García, 1993). El empleo de este cuerpo teórico es útil para proponer criterios de ordenamiento; al revelar, conjuntamente, la celeridad con la que los territorios analizados se integran a ciertos procesos socioeconómicos, las limitantes que aún constituyen ciertos atributos del entorno físico-geográfico y los nexos entre la intensidad del uso económico que manifiesta un espacio concreto y su problemática ambiental. Consecuentemente se puede:</w:t>
      </w:r>
    </w:p>
    <w:p w:rsidR="00C55B8F" w:rsidRPr="00021F1B" w:rsidRDefault="00C55B8F" w:rsidP="00EB3BE7">
      <w:pPr>
        <w:spacing w:line="360" w:lineRule="auto"/>
        <w:ind w:left="708"/>
        <w:jc w:val="both"/>
        <w:rPr>
          <w:rFonts w:ascii="Times New Roman" w:hAnsi="Times New Roman" w:cs="Times New Roman"/>
          <w:bCs/>
          <w:sz w:val="24"/>
          <w:szCs w:val="24"/>
        </w:rPr>
      </w:pPr>
      <w:r w:rsidRPr="00021F1B">
        <w:rPr>
          <w:rFonts w:ascii="Times New Roman" w:hAnsi="Times New Roman" w:cs="Times New Roman"/>
          <w:bCs/>
          <w:sz w:val="24"/>
          <w:szCs w:val="24"/>
        </w:rPr>
        <w:t>Establecer proyecciones territoriales a partir de los patrones que se detecten y, sobre todo, incidir mediante el conocimiento más profundo de los procesos territoriales en una mejor organización para el aprovechamiento del espacio, una más eficiente utilización de los recursos, una más regional distribución de las fuerzas productivas y una mejor relación con la naturaleza en el país</w:t>
      </w:r>
      <w:r w:rsidR="001C5DF2" w:rsidRPr="00021F1B">
        <w:rPr>
          <w:rFonts w:ascii="Times New Roman" w:hAnsi="Times New Roman" w:cs="Times New Roman"/>
          <w:bCs/>
          <w:sz w:val="24"/>
          <w:szCs w:val="24"/>
        </w:rPr>
        <w:t xml:space="preserve"> </w:t>
      </w:r>
      <w:r w:rsidRPr="00021F1B">
        <w:rPr>
          <w:rFonts w:ascii="Times New Roman" w:hAnsi="Times New Roman" w:cs="Times New Roman"/>
          <w:bCs/>
          <w:sz w:val="24"/>
          <w:szCs w:val="24"/>
        </w:rPr>
        <w:t>(Propin, 1</w:t>
      </w:r>
      <w:r w:rsidR="001C5DF2" w:rsidRPr="00021F1B">
        <w:rPr>
          <w:rFonts w:ascii="Times New Roman" w:hAnsi="Times New Roman" w:cs="Times New Roman"/>
          <w:bCs/>
          <w:sz w:val="24"/>
          <w:szCs w:val="24"/>
        </w:rPr>
        <w:t>989 citado por García, 1993</w:t>
      </w:r>
      <w:r w:rsidR="00BA73D8">
        <w:rPr>
          <w:rFonts w:ascii="Times New Roman" w:hAnsi="Times New Roman" w:cs="Times New Roman"/>
          <w:bCs/>
          <w:sz w:val="24"/>
          <w:szCs w:val="24"/>
        </w:rPr>
        <w:t>, p.</w:t>
      </w:r>
      <w:r w:rsidR="001C5DF2" w:rsidRPr="00021F1B">
        <w:rPr>
          <w:rFonts w:ascii="Times New Roman" w:hAnsi="Times New Roman" w:cs="Times New Roman"/>
          <w:bCs/>
          <w:sz w:val="24"/>
          <w:szCs w:val="24"/>
        </w:rPr>
        <w:t xml:space="preserve"> </w:t>
      </w:r>
      <w:r w:rsidRPr="00021F1B">
        <w:rPr>
          <w:rFonts w:ascii="Times New Roman" w:hAnsi="Times New Roman" w:cs="Times New Roman"/>
          <w:bCs/>
          <w:sz w:val="24"/>
          <w:szCs w:val="24"/>
        </w:rPr>
        <w:t xml:space="preserve">73). </w:t>
      </w:r>
    </w:p>
    <w:p w:rsidR="00C55B8F" w:rsidRDefault="00C55B8F"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La teoría está integrada por tres líneas cognoscitivas básicas que son: los niveles, los tipos y los grados de asimilación ec</w:t>
      </w:r>
      <w:r w:rsidR="00EB3BE7">
        <w:rPr>
          <w:rFonts w:ascii="Times New Roman" w:hAnsi="Times New Roman" w:cs="Times New Roman"/>
          <w:bCs/>
          <w:sz w:val="24"/>
          <w:szCs w:val="24"/>
        </w:rPr>
        <w:t>onómica de un territorio</w:t>
      </w:r>
      <w:r w:rsidR="00021F1B">
        <w:rPr>
          <w:rFonts w:ascii="Times New Roman" w:hAnsi="Times New Roman" w:cs="Times New Roman"/>
          <w:bCs/>
          <w:sz w:val="24"/>
          <w:szCs w:val="24"/>
        </w:rPr>
        <w:t xml:space="preserve"> (</w:t>
      </w:r>
      <w:r w:rsidR="00BA73D8">
        <w:rPr>
          <w:rFonts w:ascii="Times New Roman" w:hAnsi="Times New Roman" w:cs="Times New Roman"/>
          <w:bCs/>
          <w:sz w:val="24"/>
          <w:szCs w:val="24"/>
        </w:rPr>
        <w:t>f</w:t>
      </w:r>
      <w:r w:rsidR="00021F1B">
        <w:rPr>
          <w:rFonts w:ascii="Times New Roman" w:hAnsi="Times New Roman" w:cs="Times New Roman"/>
          <w:bCs/>
          <w:sz w:val="24"/>
          <w:szCs w:val="24"/>
        </w:rPr>
        <w:t>igura 2</w:t>
      </w:r>
      <w:r w:rsidR="001C5DF2">
        <w:rPr>
          <w:rFonts w:ascii="Times New Roman" w:hAnsi="Times New Roman" w:cs="Times New Roman"/>
          <w:bCs/>
          <w:sz w:val="24"/>
          <w:szCs w:val="24"/>
        </w:rPr>
        <w:t>)</w:t>
      </w:r>
      <w:r w:rsidRPr="00DB36F0">
        <w:rPr>
          <w:rFonts w:ascii="Times New Roman" w:hAnsi="Times New Roman" w:cs="Times New Roman"/>
          <w:bCs/>
          <w:sz w:val="24"/>
          <w:szCs w:val="24"/>
        </w:rPr>
        <w:t xml:space="preserve">. La primera ha sido empleada en un número significativo de investigaciones, para evaluar las disparidades socioeconómicas que existen al interior del espacio abordado. En esas obras se define al nivel como </w:t>
      </w:r>
      <w:r w:rsidR="001C5DF2">
        <w:rPr>
          <w:rFonts w:ascii="Times New Roman" w:hAnsi="Times New Roman" w:cs="Times New Roman"/>
          <w:bCs/>
          <w:sz w:val="24"/>
          <w:szCs w:val="24"/>
        </w:rPr>
        <w:t>l</w:t>
      </w:r>
      <w:r w:rsidRPr="00DB36F0">
        <w:rPr>
          <w:rFonts w:ascii="Times New Roman" w:hAnsi="Times New Roman" w:cs="Times New Roman"/>
          <w:bCs/>
          <w:sz w:val="24"/>
          <w:szCs w:val="24"/>
        </w:rPr>
        <w:t xml:space="preserve">a expresión medible del proceso de interacción de factores múltiples como los económicos, políticos, </w:t>
      </w:r>
      <w:r w:rsidRPr="00DB36F0">
        <w:rPr>
          <w:rFonts w:ascii="Times New Roman" w:hAnsi="Times New Roman" w:cs="Times New Roman"/>
          <w:bCs/>
          <w:sz w:val="24"/>
          <w:szCs w:val="24"/>
        </w:rPr>
        <w:lastRenderedPageBreak/>
        <w:t xml:space="preserve">culturales y físico-geográficos que causan la </w:t>
      </w:r>
      <w:r w:rsidRPr="00EB3BE7">
        <w:rPr>
          <w:rFonts w:ascii="Times New Roman" w:hAnsi="Times New Roman" w:cs="Times New Roman"/>
          <w:bCs/>
          <w:sz w:val="24"/>
          <w:szCs w:val="24"/>
        </w:rPr>
        <w:t>“situación geográfica”</w:t>
      </w:r>
      <w:r w:rsidRPr="00DB36F0">
        <w:rPr>
          <w:rFonts w:ascii="Times New Roman" w:hAnsi="Times New Roman" w:cs="Times New Roman"/>
          <w:bCs/>
          <w:sz w:val="24"/>
          <w:szCs w:val="24"/>
        </w:rPr>
        <w:t xml:space="preserve"> de un territorio concreto (Privalovskaya, 1982 </w:t>
      </w:r>
      <w:r w:rsidR="001C5DF2">
        <w:rPr>
          <w:rFonts w:ascii="Times New Roman" w:hAnsi="Times New Roman" w:cs="Times New Roman"/>
          <w:bCs/>
          <w:sz w:val="24"/>
          <w:szCs w:val="24"/>
        </w:rPr>
        <w:t>citada por Propin, 2003</w:t>
      </w:r>
      <w:r w:rsidR="00BA73D8">
        <w:rPr>
          <w:rFonts w:ascii="Times New Roman" w:hAnsi="Times New Roman" w:cs="Times New Roman"/>
          <w:bCs/>
          <w:sz w:val="24"/>
          <w:szCs w:val="24"/>
        </w:rPr>
        <w:t>, p.</w:t>
      </w:r>
      <w:r w:rsidR="001C5DF2">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60). Tal dimensión cualitativo-cuantitativa es determinada mediante el tratamiento metodológico de criterios previamente seleccionados y relacionados con determinadas unidades político-administrativas. El resultado es una imagen integral de la presencia heterogénea de la población y sus actividades productivas. Por lo tanto, los distintos niveles de asimilación económica </w:t>
      </w:r>
      <w:r w:rsidRPr="00EB3BE7">
        <w:rPr>
          <w:rFonts w:ascii="Times New Roman" w:hAnsi="Times New Roman" w:cs="Times New Roman"/>
          <w:bCs/>
          <w:sz w:val="24"/>
          <w:szCs w:val="24"/>
        </w:rPr>
        <w:t>“no deben ser asociados con supuestos patrones de desarrollo económico o social”</w:t>
      </w:r>
      <w:r w:rsidR="001C5DF2">
        <w:rPr>
          <w:rFonts w:ascii="Times New Roman" w:hAnsi="Times New Roman" w:cs="Times New Roman"/>
          <w:bCs/>
          <w:sz w:val="24"/>
          <w:szCs w:val="24"/>
        </w:rPr>
        <w:t xml:space="preserve"> (Propin y Sánchez, 1998</w:t>
      </w:r>
      <w:r w:rsidR="00BA73D8">
        <w:rPr>
          <w:rFonts w:ascii="Times New Roman" w:hAnsi="Times New Roman" w:cs="Times New Roman"/>
          <w:bCs/>
          <w:sz w:val="24"/>
          <w:szCs w:val="24"/>
        </w:rPr>
        <w:t>, p.</w:t>
      </w:r>
      <w:r w:rsidR="001C5DF2">
        <w:rPr>
          <w:rFonts w:ascii="Times New Roman" w:hAnsi="Times New Roman" w:cs="Times New Roman"/>
          <w:bCs/>
          <w:sz w:val="24"/>
          <w:szCs w:val="24"/>
        </w:rPr>
        <w:t xml:space="preserve"> </w:t>
      </w:r>
      <w:r w:rsidRPr="00DB36F0">
        <w:rPr>
          <w:rFonts w:ascii="Times New Roman" w:hAnsi="Times New Roman" w:cs="Times New Roman"/>
          <w:bCs/>
          <w:sz w:val="24"/>
          <w:szCs w:val="24"/>
        </w:rPr>
        <w:t>60).</w:t>
      </w:r>
    </w:p>
    <w:p w:rsidR="00C55B8F" w:rsidRPr="00937542" w:rsidRDefault="008153AD" w:rsidP="00DB36F0">
      <w:pPr>
        <w:spacing w:line="360" w:lineRule="auto"/>
        <w:jc w:val="center"/>
        <w:rPr>
          <w:rFonts w:ascii="Times New Roman" w:hAnsi="Times New Roman" w:cs="Times New Roman"/>
          <w:b/>
          <w:bCs/>
          <w:sz w:val="24"/>
        </w:rPr>
      </w:pPr>
      <w:r w:rsidRPr="00937542">
        <w:rPr>
          <w:rFonts w:ascii="Times New Roman" w:hAnsi="Times New Roman" w:cs="Times New Roman"/>
          <w:b/>
          <w:bCs/>
          <w:sz w:val="24"/>
        </w:rPr>
        <w:t>Figura 2</w:t>
      </w:r>
      <w:r w:rsidR="001C5DF2" w:rsidRPr="00937542">
        <w:rPr>
          <w:rFonts w:ascii="Times New Roman" w:hAnsi="Times New Roman" w:cs="Times New Roman"/>
          <w:b/>
          <w:bCs/>
          <w:sz w:val="24"/>
        </w:rPr>
        <w:t>.</w:t>
      </w:r>
      <w:r w:rsidR="00C55B8F" w:rsidRPr="00937542">
        <w:rPr>
          <w:rFonts w:ascii="Times New Roman" w:hAnsi="Times New Roman" w:cs="Times New Roman"/>
          <w:b/>
          <w:bCs/>
          <w:sz w:val="24"/>
        </w:rPr>
        <w:t xml:space="preserve"> </w:t>
      </w:r>
      <w:r w:rsidR="00C55B8F" w:rsidRPr="00937542">
        <w:rPr>
          <w:rFonts w:ascii="Times New Roman" w:hAnsi="Times New Roman" w:cs="Times New Roman"/>
          <w:bCs/>
          <w:sz w:val="24"/>
        </w:rPr>
        <w:t>Categorías investigativas de la asimilación económica del territorio</w:t>
      </w:r>
    </w:p>
    <w:p w:rsidR="00C55B8F" w:rsidRPr="00DB36F0" w:rsidRDefault="00C55B8F"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noProof/>
          <w:sz w:val="24"/>
          <w:szCs w:val="24"/>
          <w:lang w:eastAsia="es-MX"/>
        </w:rPr>
        <w:drawing>
          <wp:inline distT="0" distB="0" distL="0" distR="0" wp14:anchorId="47756D47" wp14:editId="7EEE1175">
            <wp:extent cx="5400675" cy="446813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675" cy="4468130"/>
                    </a:xfrm>
                    <a:prstGeom prst="rect">
                      <a:avLst/>
                    </a:prstGeom>
                    <a:noFill/>
                    <a:ln w="3175">
                      <a:noFill/>
                    </a:ln>
                  </pic:spPr>
                </pic:pic>
              </a:graphicData>
            </a:graphic>
          </wp:inline>
        </w:drawing>
      </w:r>
      <w:r w:rsidR="008153AD">
        <w:rPr>
          <w:rFonts w:ascii="Times New Roman" w:hAnsi="Times New Roman" w:cs="Times New Roman"/>
          <w:bCs/>
          <w:sz w:val="24"/>
          <w:szCs w:val="24"/>
        </w:rPr>
        <w:t xml:space="preserve"> </w:t>
      </w:r>
    </w:p>
    <w:p w:rsidR="009811D5" w:rsidRPr="00937542" w:rsidRDefault="00EB3BE7" w:rsidP="00937542">
      <w:pPr>
        <w:spacing w:line="360" w:lineRule="auto"/>
        <w:jc w:val="center"/>
        <w:rPr>
          <w:rFonts w:ascii="Times New Roman" w:hAnsi="Times New Roman" w:cs="Times New Roman"/>
          <w:bCs/>
          <w:sz w:val="24"/>
          <w:szCs w:val="18"/>
        </w:rPr>
      </w:pPr>
      <w:r w:rsidRPr="00937542">
        <w:rPr>
          <w:rFonts w:ascii="Times New Roman" w:hAnsi="Times New Roman" w:cs="Times New Roman"/>
          <w:bCs/>
          <w:sz w:val="24"/>
          <w:szCs w:val="18"/>
        </w:rPr>
        <w:t>Fuente: elaborado con base en García, 2011.</w:t>
      </w:r>
    </w:p>
    <w:p w:rsidR="008153AD" w:rsidRPr="008153AD" w:rsidRDefault="008153AD" w:rsidP="00DB36F0">
      <w:pPr>
        <w:spacing w:line="360" w:lineRule="auto"/>
        <w:jc w:val="both"/>
        <w:rPr>
          <w:rFonts w:ascii="Times New Roman" w:hAnsi="Times New Roman" w:cs="Times New Roman"/>
          <w:bCs/>
          <w:sz w:val="20"/>
          <w:szCs w:val="20"/>
        </w:rPr>
      </w:pPr>
    </w:p>
    <w:p w:rsidR="00937542" w:rsidRDefault="00937542" w:rsidP="00DB36F0">
      <w:pPr>
        <w:spacing w:line="360" w:lineRule="auto"/>
        <w:jc w:val="both"/>
        <w:rPr>
          <w:rFonts w:ascii="Times New Roman" w:hAnsi="Times New Roman" w:cs="Times New Roman"/>
          <w:b/>
          <w:bCs/>
          <w:sz w:val="24"/>
          <w:szCs w:val="24"/>
        </w:rPr>
      </w:pPr>
    </w:p>
    <w:p w:rsidR="00937542" w:rsidRDefault="00937542" w:rsidP="00DB36F0">
      <w:pPr>
        <w:spacing w:line="360" w:lineRule="auto"/>
        <w:jc w:val="both"/>
        <w:rPr>
          <w:rFonts w:ascii="Times New Roman" w:hAnsi="Times New Roman" w:cs="Times New Roman"/>
          <w:b/>
          <w:bCs/>
          <w:sz w:val="24"/>
          <w:szCs w:val="24"/>
        </w:rPr>
      </w:pPr>
    </w:p>
    <w:p w:rsidR="003B4636" w:rsidRDefault="003B4636" w:rsidP="00DB36F0">
      <w:pPr>
        <w:spacing w:line="360" w:lineRule="auto"/>
        <w:jc w:val="both"/>
        <w:rPr>
          <w:rFonts w:ascii="Times New Roman" w:hAnsi="Times New Roman" w:cs="Times New Roman"/>
          <w:b/>
          <w:bCs/>
          <w:sz w:val="24"/>
          <w:szCs w:val="24"/>
        </w:rPr>
      </w:pPr>
      <w:r w:rsidRPr="00DB36F0">
        <w:rPr>
          <w:rFonts w:ascii="Times New Roman" w:hAnsi="Times New Roman" w:cs="Times New Roman"/>
          <w:b/>
          <w:bCs/>
          <w:sz w:val="24"/>
          <w:szCs w:val="24"/>
        </w:rPr>
        <w:lastRenderedPageBreak/>
        <w:t>Método</w:t>
      </w:r>
    </w:p>
    <w:p w:rsidR="00A81185" w:rsidRPr="00A81185" w:rsidRDefault="00A81185" w:rsidP="00A81185">
      <w:pPr>
        <w:spacing w:line="360" w:lineRule="auto"/>
        <w:jc w:val="both"/>
        <w:rPr>
          <w:rFonts w:ascii="Times New Roman" w:hAnsi="Times New Roman" w:cs="Times New Roman"/>
          <w:i/>
          <w:iCs/>
          <w:sz w:val="24"/>
          <w:szCs w:val="24"/>
        </w:rPr>
      </w:pPr>
      <w:r w:rsidRPr="00A81185">
        <w:rPr>
          <w:rFonts w:ascii="Times New Roman" w:hAnsi="Times New Roman" w:cs="Times New Roman"/>
          <w:bCs/>
          <w:iCs/>
          <w:sz w:val="24"/>
          <w:szCs w:val="24"/>
        </w:rPr>
        <w:t>En este trabajo se emplea información generada por el Instituto Nacional de Estadística y Geografía (INEGI).</w:t>
      </w:r>
      <w:r w:rsidRPr="00A81185">
        <w:rPr>
          <w:rFonts w:ascii="Times New Roman" w:hAnsi="Times New Roman" w:cs="Times New Roman"/>
          <w:i/>
          <w:iCs/>
          <w:sz w:val="24"/>
          <w:szCs w:val="24"/>
        </w:rPr>
        <w:t xml:space="preserve"> </w:t>
      </w:r>
      <w:r w:rsidRPr="00A81185">
        <w:rPr>
          <w:rFonts w:ascii="Times New Roman" w:hAnsi="Times New Roman" w:cs="Times New Roman"/>
          <w:sz w:val="24"/>
          <w:szCs w:val="24"/>
        </w:rPr>
        <w:t xml:space="preserve">Las investigaciones precedentes, sustentadas en la asimilación económica, han utilizado las variables siguientes: extensión territorial, número de habitantes, población urbana, valor anual de la producción agrícola e industrial y longitud de las vías de comunicación terrestre. A partir de esas cinco variables se generaron indicadores socioeconómicos que permiten vislumbrar las disparidades espaciales que imperan en un territorio. A continuación se presentan sus principales características. </w:t>
      </w:r>
    </w:p>
    <w:p w:rsidR="00A81185" w:rsidRPr="00A81185" w:rsidRDefault="00A81185" w:rsidP="00A81185">
      <w:pPr>
        <w:spacing w:line="360" w:lineRule="auto"/>
        <w:ind w:left="708"/>
        <w:jc w:val="both"/>
        <w:rPr>
          <w:rFonts w:ascii="Times New Roman" w:hAnsi="Times New Roman" w:cs="Times New Roman"/>
          <w:sz w:val="24"/>
          <w:szCs w:val="24"/>
        </w:rPr>
      </w:pPr>
      <w:r w:rsidRPr="00A81185">
        <w:rPr>
          <w:rFonts w:ascii="Times New Roman" w:hAnsi="Times New Roman" w:cs="Times New Roman"/>
          <w:iCs/>
          <w:sz w:val="24"/>
          <w:szCs w:val="24"/>
        </w:rPr>
        <w:t>Densidad de población</w:t>
      </w:r>
      <w:r w:rsidRPr="00270711">
        <w:rPr>
          <w:rFonts w:ascii="Times New Roman" w:hAnsi="Times New Roman" w:cs="Times New Roman"/>
          <w:iCs/>
          <w:sz w:val="24"/>
          <w:szCs w:val="24"/>
        </w:rPr>
        <w:t xml:space="preserve"> (DP)</w:t>
      </w:r>
      <w:r w:rsidRPr="00A81185">
        <w:rPr>
          <w:rFonts w:ascii="Times New Roman" w:hAnsi="Times New Roman" w:cs="Times New Roman"/>
          <w:iCs/>
          <w:sz w:val="24"/>
          <w:szCs w:val="24"/>
        </w:rPr>
        <w:t xml:space="preserve">. </w:t>
      </w:r>
      <w:r w:rsidRPr="00A81185">
        <w:rPr>
          <w:rFonts w:ascii="Times New Roman" w:hAnsi="Times New Roman" w:cs="Times New Roman"/>
          <w:sz w:val="24"/>
          <w:szCs w:val="24"/>
        </w:rPr>
        <w:t xml:space="preserve">Muestra la relación entre el total de habitantes de una unidad espacial de análisis y el área de ésta. </w:t>
      </w:r>
    </w:p>
    <w:p w:rsidR="00A81185" w:rsidRPr="00A81185" w:rsidRDefault="00A81185" w:rsidP="00A81185">
      <w:pPr>
        <w:spacing w:line="360" w:lineRule="auto"/>
        <w:ind w:left="708"/>
        <w:jc w:val="both"/>
        <w:rPr>
          <w:rFonts w:ascii="Times New Roman" w:hAnsi="Times New Roman" w:cs="Times New Roman"/>
          <w:sz w:val="24"/>
          <w:szCs w:val="24"/>
        </w:rPr>
      </w:pPr>
      <w:r w:rsidRPr="00A81185">
        <w:rPr>
          <w:rFonts w:ascii="Times New Roman" w:hAnsi="Times New Roman" w:cs="Times New Roman"/>
          <w:iCs/>
          <w:sz w:val="24"/>
          <w:szCs w:val="24"/>
        </w:rPr>
        <w:t>Grado de urbanización</w:t>
      </w:r>
      <w:r w:rsidRPr="00270711">
        <w:rPr>
          <w:rFonts w:ascii="Times New Roman" w:hAnsi="Times New Roman" w:cs="Times New Roman"/>
          <w:iCs/>
          <w:sz w:val="24"/>
          <w:szCs w:val="24"/>
        </w:rPr>
        <w:t xml:space="preserve"> (GU)</w:t>
      </w:r>
      <w:r w:rsidRPr="00A81185">
        <w:rPr>
          <w:rFonts w:ascii="Times New Roman" w:hAnsi="Times New Roman" w:cs="Times New Roman"/>
          <w:iCs/>
          <w:sz w:val="24"/>
          <w:szCs w:val="24"/>
        </w:rPr>
        <w:t xml:space="preserve">. </w:t>
      </w:r>
      <w:r w:rsidRPr="00A81185">
        <w:rPr>
          <w:rFonts w:ascii="Times New Roman" w:hAnsi="Times New Roman" w:cs="Times New Roman"/>
          <w:sz w:val="24"/>
          <w:szCs w:val="24"/>
        </w:rPr>
        <w:t xml:space="preserve">Es un valor porcentual que evidencia la proporción de población que reside en un asentamiento urbano, sitios en los que viven 15 000 o más personas (Unikel, 1978), respecto al número total de habitantes que registra la unidad espacial analizada. </w:t>
      </w:r>
    </w:p>
    <w:p w:rsidR="00A81185" w:rsidRPr="00A81185" w:rsidRDefault="00A81185" w:rsidP="00A81185">
      <w:pPr>
        <w:spacing w:line="360" w:lineRule="auto"/>
        <w:ind w:left="708"/>
        <w:jc w:val="both"/>
        <w:rPr>
          <w:rFonts w:ascii="Times New Roman" w:hAnsi="Times New Roman" w:cs="Times New Roman"/>
          <w:sz w:val="24"/>
          <w:szCs w:val="24"/>
        </w:rPr>
      </w:pPr>
      <w:r w:rsidRPr="00A81185">
        <w:rPr>
          <w:rFonts w:ascii="Times New Roman" w:hAnsi="Times New Roman" w:cs="Times New Roman"/>
          <w:iCs/>
          <w:sz w:val="24"/>
          <w:szCs w:val="24"/>
        </w:rPr>
        <w:t>Concentración regional de las tierras con riego</w:t>
      </w:r>
      <w:r w:rsidRPr="00270711">
        <w:rPr>
          <w:rFonts w:ascii="Times New Roman" w:hAnsi="Times New Roman" w:cs="Times New Roman"/>
          <w:iCs/>
          <w:sz w:val="24"/>
          <w:szCs w:val="24"/>
        </w:rPr>
        <w:t xml:space="preserve"> (CTA)</w:t>
      </w:r>
      <w:r w:rsidRPr="00A81185">
        <w:rPr>
          <w:rFonts w:ascii="Times New Roman" w:hAnsi="Times New Roman" w:cs="Times New Roman"/>
          <w:iCs/>
          <w:sz w:val="24"/>
          <w:szCs w:val="24"/>
        </w:rPr>
        <w:t xml:space="preserve">. </w:t>
      </w:r>
      <w:r w:rsidRPr="00A81185">
        <w:rPr>
          <w:rFonts w:ascii="Times New Roman" w:hAnsi="Times New Roman" w:cs="Times New Roman"/>
          <w:sz w:val="24"/>
          <w:szCs w:val="24"/>
        </w:rPr>
        <w:t xml:space="preserve">El valor correspondiente a este indicador revela el porcentaje de tierras con regadío, presentes en cada municipio, en relación a la superficie agrícola estatal de ese tipo. </w:t>
      </w:r>
    </w:p>
    <w:p w:rsidR="00A81185" w:rsidRPr="00A81185" w:rsidRDefault="00A81185" w:rsidP="00A81185">
      <w:pPr>
        <w:spacing w:line="360" w:lineRule="auto"/>
        <w:ind w:left="708"/>
        <w:jc w:val="both"/>
        <w:rPr>
          <w:rFonts w:ascii="Times New Roman" w:hAnsi="Times New Roman" w:cs="Times New Roman"/>
          <w:sz w:val="24"/>
          <w:szCs w:val="24"/>
        </w:rPr>
      </w:pPr>
      <w:r w:rsidRPr="00A81185">
        <w:rPr>
          <w:rFonts w:ascii="Times New Roman" w:hAnsi="Times New Roman" w:cs="Times New Roman"/>
          <w:iCs/>
          <w:sz w:val="24"/>
          <w:szCs w:val="24"/>
        </w:rPr>
        <w:t>Concentración espacial de la industria</w:t>
      </w:r>
      <w:r w:rsidRPr="00270711">
        <w:rPr>
          <w:rFonts w:ascii="Times New Roman" w:hAnsi="Times New Roman" w:cs="Times New Roman"/>
          <w:iCs/>
          <w:sz w:val="24"/>
          <w:szCs w:val="24"/>
        </w:rPr>
        <w:t xml:space="preserve"> (CTI)</w:t>
      </w:r>
      <w:r w:rsidRPr="00A81185">
        <w:rPr>
          <w:rFonts w:ascii="Times New Roman" w:hAnsi="Times New Roman" w:cs="Times New Roman"/>
          <w:iCs/>
          <w:sz w:val="24"/>
          <w:szCs w:val="24"/>
        </w:rPr>
        <w:t xml:space="preserve">. </w:t>
      </w:r>
      <w:r w:rsidRPr="00A81185">
        <w:rPr>
          <w:rFonts w:ascii="Times New Roman" w:hAnsi="Times New Roman" w:cs="Times New Roman"/>
          <w:sz w:val="24"/>
          <w:szCs w:val="24"/>
        </w:rPr>
        <w:t xml:space="preserve">Alude a la cifra que resulta al dividir el valor de la producción de las ramas básicas del sector secundario entre la superficie de la unidad espacial en la que se desarrollan tales actividades económicas. </w:t>
      </w:r>
    </w:p>
    <w:p w:rsidR="00A81185" w:rsidRPr="00A81185" w:rsidRDefault="00A81185" w:rsidP="00A81185">
      <w:pPr>
        <w:spacing w:line="360" w:lineRule="auto"/>
        <w:ind w:left="708"/>
        <w:jc w:val="both"/>
        <w:rPr>
          <w:rFonts w:ascii="Times New Roman" w:hAnsi="Times New Roman" w:cs="Times New Roman"/>
          <w:sz w:val="24"/>
          <w:szCs w:val="24"/>
        </w:rPr>
      </w:pPr>
      <w:r w:rsidRPr="00A81185">
        <w:rPr>
          <w:rFonts w:ascii="Times New Roman" w:hAnsi="Times New Roman" w:cs="Times New Roman"/>
          <w:iCs/>
          <w:sz w:val="24"/>
          <w:szCs w:val="24"/>
        </w:rPr>
        <w:t>Densidad vial</w:t>
      </w:r>
      <w:r w:rsidRPr="00270711">
        <w:rPr>
          <w:rFonts w:ascii="Times New Roman" w:hAnsi="Times New Roman" w:cs="Times New Roman"/>
          <w:iCs/>
          <w:sz w:val="24"/>
          <w:szCs w:val="24"/>
        </w:rPr>
        <w:t xml:space="preserve"> (DV)</w:t>
      </w:r>
      <w:r w:rsidRPr="00A81185">
        <w:rPr>
          <w:rFonts w:ascii="Times New Roman" w:hAnsi="Times New Roman" w:cs="Times New Roman"/>
          <w:iCs/>
          <w:sz w:val="24"/>
          <w:szCs w:val="24"/>
        </w:rPr>
        <w:t xml:space="preserve">. </w:t>
      </w:r>
      <w:r w:rsidRPr="00A81185">
        <w:rPr>
          <w:rFonts w:ascii="Times New Roman" w:hAnsi="Times New Roman" w:cs="Times New Roman"/>
          <w:sz w:val="24"/>
          <w:szCs w:val="24"/>
        </w:rPr>
        <w:t>Así se denominó a la relación que existe entre la longitud de la red vial que ostenta cada unidad espacial de análisis y el área de la misma. En trabajos subsecuentes también se pondera la amplitud de las vías ferroviarias, debido a su trascendencia en la dinámica económica del territorio evaluado.</w:t>
      </w:r>
    </w:p>
    <w:p w:rsidR="00822D4B" w:rsidRPr="00DB36F0" w:rsidRDefault="00A81185" w:rsidP="00DB36F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El manejo estadístico de estos indicadores está regulado por e</w:t>
      </w:r>
      <w:r w:rsidR="00822D4B" w:rsidRPr="00DB36F0">
        <w:rPr>
          <w:rFonts w:ascii="Times New Roman" w:hAnsi="Times New Roman" w:cs="Times New Roman"/>
          <w:bCs/>
          <w:sz w:val="24"/>
          <w:szCs w:val="24"/>
        </w:rPr>
        <w:t>l método de tipificación probabilística cuyas particu</w:t>
      </w:r>
      <w:r w:rsidR="00EB3BE7">
        <w:rPr>
          <w:rFonts w:ascii="Times New Roman" w:hAnsi="Times New Roman" w:cs="Times New Roman"/>
          <w:bCs/>
          <w:sz w:val="24"/>
          <w:szCs w:val="24"/>
        </w:rPr>
        <w:t>laridad</w:t>
      </w:r>
      <w:r w:rsidR="0062756C">
        <w:rPr>
          <w:rFonts w:ascii="Times New Roman" w:hAnsi="Times New Roman" w:cs="Times New Roman"/>
          <w:bCs/>
          <w:sz w:val="24"/>
          <w:szCs w:val="24"/>
        </w:rPr>
        <w:t>es están expuestas en los</w:t>
      </w:r>
      <w:r w:rsidR="00EB3BE7">
        <w:rPr>
          <w:rFonts w:ascii="Times New Roman" w:hAnsi="Times New Roman" w:cs="Times New Roman"/>
          <w:bCs/>
          <w:sz w:val="24"/>
          <w:szCs w:val="24"/>
        </w:rPr>
        <w:t xml:space="preserve"> </w:t>
      </w:r>
      <w:r w:rsidR="00822D4B" w:rsidRPr="00DB36F0">
        <w:rPr>
          <w:rFonts w:ascii="Times New Roman" w:hAnsi="Times New Roman" w:cs="Times New Roman"/>
          <w:bCs/>
          <w:sz w:val="24"/>
          <w:szCs w:val="24"/>
        </w:rPr>
        <w:t>de</w:t>
      </w:r>
      <w:r w:rsidR="00EB3BE7">
        <w:rPr>
          <w:rFonts w:ascii="Times New Roman" w:hAnsi="Times New Roman" w:cs="Times New Roman"/>
          <w:bCs/>
          <w:sz w:val="24"/>
          <w:szCs w:val="24"/>
        </w:rPr>
        <w:t xml:space="preserve"> Propin (2003)</w:t>
      </w:r>
      <w:r w:rsidR="00B821C5">
        <w:rPr>
          <w:rFonts w:ascii="Times New Roman" w:hAnsi="Times New Roman" w:cs="Times New Roman"/>
          <w:bCs/>
          <w:sz w:val="24"/>
          <w:szCs w:val="24"/>
        </w:rPr>
        <w:t xml:space="preserve">, </w:t>
      </w:r>
      <w:r w:rsidR="00366D06">
        <w:rPr>
          <w:rFonts w:ascii="Times New Roman" w:hAnsi="Times New Roman" w:cs="Times New Roman"/>
          <w:bCs/>
          <w:sz w:val="24"/>
          <w:szCs w:val="24"/>
        </w:rPr>
        <w:t xml:space="preserve"> Hernández (2007), Mollinedo (2008), </w:t>
      </w:r>
      <w:r w:rsidR="00B821C5">
        <w:rPr>
          <w:rFonts w:ascii="Times New Roman" w:hAnsi="Times New Roman" w:cs="Times New Roman"/>
          <w:bCs/>
          <w:sz w:val="24"/>
          <w:szCs w:val="24"/>
        </w:rPr>
        <w:t xml:space="preserve">Ortiz, Villaseñor y </w:t>
      </w:r>
      <w:r w:rsidR="00366D06">
        <w:rPr>
          <w:rFonts w:ascii="Times New Roman" w:hAnsi="Times New Roman" w:cs="Times New Roman"/>
          <w:bCs/>
          <w:sz w:val="24"/>
          <w:szCs w:val="24"/>
        </w:rPr>
        <w:t>G</w:t>
      </w:r>
      <w:r w:rsidR="00B821C5">
        <w:rPr>
          <w:rFonts w:ascii="Times New Roman" w:hAnsi="Times New Roman" w:cs="Times New Roman"/>
          <w:bCs/>
          <w:sz w:val="24"/>
          <w:szCs w:val="24"/>
        </w:rPr>
        <w:t>erónimo (2009),</w:t>
      </w:r>
      <w:r w:rsidR="00366D06">
        <w:rPr>
          <w:rFonts w:ascii="Times New Roman" w:hAnsi="Times New Roman" w:cs="Times New Roman"/>
          <w:bCs/>
          <w:sz w:val="24"/>
          <w:szCs w:val="24"/>
        </w:rPr>
        <w:t xml:space="preserve"> Aguilar (2013) y Villagrán (2013)</w:t>
      </w:r>
      <w:r w:rsidR="00822D4B" w:rsidRPr="00DB36F0">
        <w:rPr>
          <w:rFonts w:ascii="Times New Roman" w:hAnsi="Times New Roman" w:cs="Times New Roman"/>
          <w:bCs/>
          <w:sz w:val="24"/>
          <w:szCs w:val="24"/>
        </w:rPr>
        <w:t>. A continuación se sintetizan los pasos que se siguieron para determinar los niveles</w:t>
      </w:r>
      <w:r w:rsidR="00EB3BE7">
        <w:rPr>
          <w:rFonts w:ascii="Times New Roman" w:hAnsi="Times New Roman" w:cs="Times New Roman"/>
          <w:bCs/>
          <w:sz w:val="24"/>
          <w:szCs w:val="24"/>
        </w:rPr>
        <w:t xml:space="preserve"> de asimilación económica del estado de Guerrero</w:t>
      </w:r>
      <w:r w:rsidR="00822D4B" w:rsidRPr="00DB36F0">
        <w:rPr>
          <w:rFonts w:ascii="Times New Roman" w:hAnsi="Times New Roman" w:cs="Times New Roman"/>
          <w:bCs/>
          <w:sz w:val="24"/>
          <w:szCs w:val="24"/>
        </w:rPr>
        <w:t xml:space="preserve">. </w:t>
      </w:r>
    </w:p>
    <w:p w:rsidR="008153AD" w:rsidRDefault="00822D4B" w:rsidP="00DB36F0">
      <w:pPr>
        <w:pStyle w:val="Prrafodelista"/>
        <w:numPr>
          <w:ilvl w:val="0"/>
          <w:numId w:val="1"/>
        </w:numPr>
        <w:spacing w:line="360" w:lineRule="auto"/>
        <w:jc w:val="both"/>
        <w:rPr>
          <w:rFonts w:ascii="Times New Roman" w:hAnsi="Times New Roman" w:cs="Times New Roman"/>
          <w:bCs/>
          <w:sz w:val="24"/>
          <w:szCs w:val="24"/>
        </w:rPr>
      </w:pPr>
      <w:r w:rsidRPr="007F1D8A">
        <w:rPr>
          <w:rFonts w:ascii="Times New Roman" w:hAnsi="Times New Roman" w:cs="Times New Roman"/>
          <w:bCs/>
          <w:iCs/>
          <w:sz w:val="24"/>
          <w:szCs w:val="24"/>
        </w:rPr>
        <w:lastRenderedPageBreak/>
        <w:t>Conformación de las matrices de datos</w:t>
      </w:r>
      <w:r w:rsidRPr="00DB36F0">
        <w:rPr>
          <w:rFonts w:ascii="Times New Roman" w:hAnsi="Times New Roman" w:cs="Times New Roman"/>
          <w:bCs/>
          <w:i/>
          <w:iCs/>
          <w:sz w:val="24"/>
          <w:szCs w:val="24"/>
        </w:rPr>
        <w:t xml:space="preserve">. </w:t>
      </w:r>
      <w:r w:rsidRPr="00DB36F0">
        <w:rPr>
          <w:rFonts w:ascii="Times New Roman" w:hAnsi="Times New Roman" w:cs="Times New Roman"/>
          <w:bCs/>
          <w:sz w:val="24"/>
          <w:szCs w:val="24"/>
        </w:rPr>
        <w:t>La información estadística se integró en dos cuadros que muestran el comportamiento cuantitativo de las variables e indicadores, en cada uno de los ochenta y un municipios. Este compendio de datos es la plataforma básica de trabajo para determinar los niveles de asimilación econ</w:t>
      </w:r>
      <w:r w:rsidR="007F1D8A">
        <w:rPr>
          <w:rFonts w:ascii="Times New Roman" w:hAnsi="Times New Roman" w:cs="Times New Roman"/>
          <w:bCs/>
          <w:sz w:val="24"/>
          <w:szCs w:val="24"/>
        </w:rPr>
        <w:t>ómica de un territorio</w:t>
      </w:r>
      <w:r w:rsidR="008153AD">
        <w:rPr>
          <w:rFonts w:ascii="Times New Roman" w:hAnsi="Times New Roman" w:cs="Times New Roman"/>
          <w:bCs/>
          <w:sz w:val="24"/>
          <w:szCs w:val="24"/>
        </w:rPr>
        <w:t xml:space="preserve"> (</w:t>
      </w:r>
      <w:r w:rsidR="00BA73D8">
        <w:rPr>
          <w:rFonts w:ascii="Times New Roman" w:hAnsi="Times New Roman" w:cs="Times New Roman"/>
          <w:bCs/>
          <w:sz w:val="24"/>
          <w:szCs w:val="24"/>
        </w:rPr>
        <w:t>t</w:t>
      </w:r>
      <w:r w:rsidR="008153AD">
        <w:rPr>
          <w:rFonts w:ascii="Times New Roman" w:hAnsi="Times New Roman" w:cs="Times New Roman"/>
          <w:bCs/>
          <w:sz w:val="24"/>
          <w:szCs w:val="24"/>
        </w:rPr>
        <w:t>abla 1 y 2)</w:t>
      </w:r>
      <w:r w:rsidRPr="00DB36F0">
        <w:rPr>
          <w:rFonts w:ascii="Times New Roman" w:hAnsi="Times New Roman" w:cs="Times New Roman"/>
          <w:bCs/>
          <w:sz w:val="24"/>
          <w:szCs w:val="24"/>
        </w:rPr>
        <w:t>.</w:t>
      </w:r>
    </w:p>
    <w:p w:rsidR="008153AD" w:rsidRDefault="008153AD" w:rsidP="008153AD">
      <w:pPr>
        <w:pStyle w:val="Prrafodelista"/>
        <w:spacing w:line="360" w:lineRule="auto"/>
        <w:jc w:val="both"/>
        <w:rPr>
          <w:rFonts w:ascii="Times New Roman" w:hAnsi="Times New Roman" w:cs="Times New Roman"/>
          <w:bCs/>
          <w:sz w:val="24"/>
          <w:szCs w:val="24"/>
        </w:rPr>
      </w:pPr>
    </w:p>
    <w:p w:rsidR="00822D4B" w:rsidRPr="00937542" w:rsidRDefault="008153AD" w:rsidP="008153AD">
      <w:pPr>
        <w:pStyle w:val="Prrafodelista"/>
        <w:spacing w:line="360" w:lineRule="auto"/>
        <w:jc w:val="center"/>
        <w:rPr>
          <w:rFonts w:ascii="Times New Roman" w:hAnsi="Times New Roman" w:cs="Times New Roman"/>
          <w:b/>
          <w:bCs/>
          <w:sz w:val="24"/>
          <w:szCs w:val="20"/>
        </w:rPr>
      </w:pPr>
      <w:r w:rsidRPr="00937542">
        <w:rPr>
          <w:rFonts w:ascii="Times New Roman" w:hAnsi="Times New Roman" w:cs="Times New Roman"/>
          <w:b/>
          <w:bCs/>
          <w:sz w:val="24"/>
          <w:szCs w:val="20"/>
        </w:rPr>
        <w:t xml:space="preserve">Tabla 1. </w:t>
      </w:r>
      <w:r w:rsidRPr="00937542">
        <w:rPr>
          <w:rFonts w:ascii="Times New Roman" w:hAnsi="Times New Roman" w:cs="Times New Roman"/>
          <w:bCs/>
          <w:sz w:val="24"/>
          <w:szCs w:val="20"/>
        </w:rPr>
        <w:t>Ejemplo del comportamiento cuantitativo de las variables socioeconómicas</w:t>
      </w:r>
    </w:p>
    <w:tbl>
      <w:tblPr>
        <w:tblpPr w:leftFromText="141" w:rightFromText="141" w:vertAnchor="text" w:horzAnchor="margin" w:tblpXSpec="center" w:tblpY="106"/>
        <w:tblW w:w="0" w:type="auto"/>
        <w:tblCellMar>
          <w:left w:w="70" w:type="dxa"/>
          <w:right w:w="70" w:type="dxa"/>
        </w:tblCellMar>
        <w:tblLook w:val="04A0" w:firstRow="1" w:lastRow="0" w:firstColumn="1" w:lastColumn="0" w:noHBand="0" w:noVBand="1"/>
      </w:tblPr>
      <w:tblGrid>
        <w:gridCol w:w="1850"/>
        <w:gridCol w:w="1194"/>
        <w:gridCol w:w="901"/>
        <w:gridCol w:w="901"/>
        <w:gridCol w:w="953"/>
        <w:gridCol w:w="1196"/>
        <w:gridCol w:w="851"/>
      </w:tblGrid>
      <w:tr w:rsidR="008153AD" w:rsidRPr="008153AD" w:rsidTr="00E041EC">
        <w:trPr>
          <w:trHeight w:val="300"/>
        </w:trPr>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Municipio</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Extensión</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Población</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Población</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Superficie</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Producción</w:t>
            </w:r>
          </w:p>
        </w:tc>
        <w:tc>
          <w:tcPr>
            <w:tcW w:w="0" w:type="auto"/>
            <w:tcBorders>
              <w:bottom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Longitud</w:t>
            </w:r>
          </w:p>
        </w:tc>
      </w:tr>
      <w:tr w:rsidR="008153AD" w:rsidRPr="008153AD" w:rsidTr="00E041EC">
        <w:trPr>
          <w:trHeight w:val="300"/>
        </w:trPr>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p>
        </w:tc>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 xml:space="preserve">territorial </w:t>
            </w:r>
            <w:r w:rsidRPr="00E041EC">
              <w:rPr>
                <w:rFonts w:ascii="Times New Roman" w:eastAsia="Times New Roman" w:hAnsi="Times New Roman" w:cs="Times New Roman"/>
                <w:b/>
                <w:bCs/>
                <w:color w:val="D9D9D9" w:themeColor="background1" w:themeShade="D9"/>
                <w:sz w:val="14"/>
                <w:szCs w:val="14"/>
                <w:lang w:eastAsia="es-MX"/>
              </w:rPr>
              <w:t>km</w:t>
            </w:r>
            <w:r w:rsidRPr="00E041EC">
              <w:rPr>
                <w:rFonts w:ascii="Times New Roman" w:eastAsia="Times New Roman" w:hAnsi="Times New Roman" w:cs="Times New Roman"/>
                <w:b/>
                <w:bCs/>
                <w:color w:val="D9D9D9" w:themeColor="background1" w:themeShade="D9"/>
                <w:sz w:val="14"/>
                <w:szCs w:val="14"/>
                <w:vertAlign w:val="superscript"/>
                <w:lang w:eastAsia="es-MX"/>
              </w:rPr>
              <w:t>2</w:t>
            </w:r>
          </w:p>
        </w:tc>
        <w:tc>
          <w:tcPr>
            <w:tcW w:w="0" w:type="auto"/>
            <w:tcBorders>
              <w:top w:val="nil"/>
            </w:tcBorders>
            <w:shd w:val="clear" w:color="auto" w:fill="404040" w:themeFill="text1" w:themeFillTint="BF"/>
            <w:noWrap/>
            <w:vAlign w:val="bottom"/>
            <w:hideMark/>
          </w:tcPr>
          <w:p w:rsidR="008153AD" w:rsidRPr="00E041EC" w:rsidRDefault="0062756C"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T</w:t>
            </w:r>
            <w:r w:rsidR="008153AD" w:rsidRPr="00E041EC">
              <w:rPr>
                <w:rFonts w:ascii="Times New Roman" w:eastAsia="Times New Roman" w:hAnsi="Times New Roman" w:cs="Times New Roman"/>
                <w:b/>
                <w:bCs/>
                <w:color w:val="D9D9D9" w:themeColor="background1" w:themeShade="D9"/>
                <w:sz w:val="18"/>
                <w:szCs w:val="18"/>
                <w:lang w:eastAsia="es-MX"/>
              </w:rPr>
              <w:t>otal</w:t>
            </w:r>
          </w:p>
        </w:tc>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urbana</w:t>
            </w:r>
          </w:p>
        </w:tc>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 xml:space="preserve">irrigada </w:t>
            </w:r>
            <w:r w:rsidRPr="00E041EC">
              <w:rPr>
                <w:rFonts w:ascii="Times New Roman" w:eastAsia="Times New Roman" w:hAnsi="Times New Roman" w:cs="Times New Roman"/>
                <w:b/>
                <w:bCs/>
                <w:color w:val="D9D9D9" w:themeColor="background1" w:themeShade="D9"/>
                <w:sz w:val="20"/>
                <w:szCs w:val="20"/>
                <w:vertAlign w:val="subscript"/>
                <w:lang w:eastAsia="es-MX"/>
              </w:rPr>
              <w:t>ha</w:t>
            </w:r>
          </w:p>
        </w:tc>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 xml:space="preserve">industrial </w:t>
            </w:r>
            <w:r w:rsidRPr="00E041EC">
              <w:rPr>
                <w:rFonts w:ascii="Times New Roman" w:eastAsia="Times New Roman" w:hAnsi="Times New Roman" w:cs="Times New Roman"/>
                <w:b/>
                <w:bCs/>
                <w:color w:val="D9D9D9" w:themeColor="background1" w:themeShade="D9"/>
                <w:sz w:val="20"/>
                <w:szCs w:val="20"/>
                <w:vertAlign w:val="subscript"/>
                <w:lang w:eastAsia="es-MX"/>
              </w:rPr>
              <w:t>USD</w:t>
            </w:r>
          </w:p>
        </w:tc>
        <w:tc>
          <w:tcPr>
            <w:tcW w:w="0" w:type="auto"/>
            <w:tcBorders>
              <w:top w:val="nil"/>
            </w:tcBorders>
            <w:shd w:val="clear" w:color="auto" w:fill="404040" w:themeFill="text1" w:themeFillTint="BF"/>
            <w:noWrap/>
            <w:vAlign w:val="bottom"/>
            <w:hideMark/>
          </w:tcPr>
          <w:p w:rsidR="008153AD" w:rsidRPr="00E041EC" w:rsidRDefault="008153AD" w:rsidP="008153A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 xml:space="preserve">vial </w:t>
            </w:r>
            <w:r w:rsidRPr="00E041EC">
              <w:rPr>
                <w:rFonts w:ascii="Times New Roman" w:eastAsia="Times New Roman" w:hAnsi="Times New Roman" w:cs="Times New Roman"/>
                <w:b/>
                <w:bCs/>
                <w:color w:val="D9D9D9" w:themeColor="background1" w:themeShade="D9"/>
                <w:sz w:val="20"/>
                <w:szCs w:val="20"/>
                <w:vertAlign w:val="subscript"/>
                <w:lang w:eastAsia="es-MX"/>
              </w:rPr>
              <w:t>km</w:t>
            </w:r>
          </w:p>
        </w:tc>
      </w:tr>
      <w:tr w:rsidR="008153AD" w:rsidRPr="008153AD" w:rsidTr="00E041EC">
        <w:trPr>
          <w:trHeight w:val="300"/>
        </w:trPr>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Acapulco de Juárez</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1882.6</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789971</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673479</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1558</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476290278</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sz w:val="18"/>
                <w:szCs w:val="18"/>
                <w:lang w:eastAsia="es-MX"/>
              </w:rPr>
            </w:pPr>
            <w:r w:rsidRPr="0014537D">
              <w:rPr>
                <w:rFonts w:ascii="Times New Roman" w:eastAsia="Times New Roman" w:hAnsi="Times New Roman" w:cs="Times New Roman"/>
                <w:sz w:val="18"/>
                <w:szCs w:val="18"/>
                <w:lang w:eastAsia="es-MX"/>
              </w:rPr>
              <w:t>548.5</w:t>
            </w:r>
          </w:p>
        </w:tc>
      </w:tr>
      <w:tr w:rsidR="008153AD" w:rsidRPr="008153AD" w:rsidTr="00E041EC">
        <w:trPr>
          <w:trHeight w:val="300"/>
        </w:trPr>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Ahuacuotzingo</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388.4</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25027</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118.5</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114862</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sz w:val="18"/>
                <w:szCs w:val="18"/>
                <w:lang w:eastAsia="es-MX"/>
              </w:rPr>
            </w:pPr>
            <w:r w:rsidRPr="0014537D">
              <w:rPr>
                <w:rFonts w:ascii="Times New Roman" w:eastAsia="Times New Roman" w:hAnsi="Times New Roman" w:cs="Times New Roman"/>
                <w:sz w:val="18"/>
                <w:szCs w:val="18"/>
                <w:lang w:eastAsia="es-MX"/>
              </w:rPr>
              <w:t>395.5</w:t>
            </w:r>
          </w:p>
        </w:tc>
      </w:tr>
      <w:tr w:rsidR="008153AD" w:rsidRPr="008153AD" w:rsidTr="00E041EC">
        <w:trPr>
          <w:trHeight w:val="300"/>
        </w:trPr>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Ajuchitlán del Progreso</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1983.6</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38203</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6563.75</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988746</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sz w:val="18"/>
                <w:szCs w:val="18"/>
                <w:lang w:eastAsia="es-MX"/>
              </w:rPr>
            </w:pPr>
            <w:r w:rsidRPr="0014537D">
              <w:rPr>
                <w:rFonts w:ascii="Times New Roman" w:eastAsia="Times New Roman" w:hAnsi="Times New Roman" w:cs="Times New Roman"/>
                <w:sz w:val="18"/>
                <w:szCs w:val="18"/>
                <w:lang w:eastAsia="es-MX"/>
              </w:rPr>
              <w:t>388.0</w:t>
            </w:r>
          </w:p>
        </w:tc>
      </w:tr>
      <w:tr w:rsidR="008153AD" w:rsidRPr="008153AD" w:rsidTr="00E041EC">
        <w:trPr>
          <w:trHeight w:val="300"/>
        </w:trPr>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Alcozauca de Guerrero</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551.6</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18971</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123.25</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152545</w:t>
            </w:r>
          </w:p>
        </w:tc>
        <w:tc>
          <w:tcPr>
            <w:tcW w:w="0" w:type="auto"/>
            <w:tcBorders>
              <w:top w:val="nil"/>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sz w:val="18"/>
                <w:szCs w:val="18"/>
                <w:lang w:eastAsia="es-MX"/>
              </w:rPr>
            </w:pPr>
            <w:r w:rsidRPr="0014537D">
              <w:rPr>
                <w:rFonts w:ascii="Times New Roman" w:eastAsia="Times New Roman" w:hAnsi="Times New Roman" w:cs="Times New Roman"/>
                <w:sz w:val="18"/>
                <w:szCs w:val="18"/>
                <w:lang w:eastAsia="es-MX"/>
              </w:rPr>
              <w:t>211.2</w:t>
            </w:r>
          </w:p>
        </w:tc>
      </w:tr>
      <w:tr w:rsidR="008153AD" w:rsidRPr="008153AD" w:rsidTr="00E041EC">
        <w:trPr>
          <w:trHeight w:val="300"/>
        </w:trPr>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Alpoyeca</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155.4</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6637</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938.25</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225804</w:t>
            </w:r>
          </w:p>
        </w:tc>
        <w:tc>
          <w:tcPr>
            <w:tcW w:w="0" w:type="auto"/>
            <w:tcBorders>
              <w:top w:val="nil"/>
              <w:bottom w:val="single" w:sz="4" w:space="0" w:color="auto"/>
            </w:tcBorders>
            <w:shd w:val="clear" w:color="auto" w:fill="auto"/>
            <w:noWrap/>
            <w:vAlign w:val="bottom"/>
            <w:hideMark/>
          </w:tcPr>
          <w:p w:rsidR="008153AD" w:rsidRPr="0014537D" w:rsidRDefault="008153AD" w:rsidP="008153AD">
            <w:pPr>
              <w:spacing w:after="0" w:line="240" w:lineRule="auto"/>
              <w:jc w:val="center"/>
              <w:rPr>
                <w:rFonts w:ascii="Times New Roman" w:eastAsia="Times New Roman" w:hAnsi="Times New Roman" w:cs="Times New Roman"/>
                <w:sz w:val="18"/>
                <w:szCs w:val="18"/>
                <w:lang w:eastAsia="es-MX"/>
              </w:rPr>
            </w:pPr>
            <w:r w:rsidRPr="0014537D">
              <w:rPr>
                <w:rFonts w:ascii="Times New Roman" w:eastAsia="Times New Roman" w:hAnsi="Times New Roman" w:cs="Times New Roman"/>
                <w:sz w:val="18"/>
                <w:szCs w:val="18"/>
                <w:lang w:eastAsia="es-MX"/>
              </w:rPr>
              <w:t>13.0</w:t>
            </w:r>
          </w:p>
        </w:tc>
      </w:tr>
    </w:tbl>
    <w:p w:rsidR="008153AD" w:rsidRDefault="008153AD" w:rsidP="008153AD">
      <w:pPr>
        <w:pStyle w:val="Prrafodelista"/>
        <w:spacing w:line="360" w:lineRule="auto"/>
        <w:jc w:val="center"/>
        <w:rPr>
          <w:rFonts w:ascii="Times New Roman" w:hAnsi="Times New Roman" w:cs="Times New Roman"/>
          <w:bCs/>
          <w:sz w:val="24"/>
          <w:szCs w:val="24"/>
        </w:rPr>
      </w:pPr>
    </w:p>
    <w:p w:rsidR="008153AD" w:rsidRDefault="008153AD" w:rsidP="008153AD">
      <w:pPr>
        <w:pStyle w:val="Prrafodelista"/>
        <w:spacing w:line="360" w:lineRule="auto"/>
        <w:jc w:val="center"/>
        <w:rPr>
          <w:rFonts w:ascii="Times New Roman" w:hAnsi="Times New Roman" w:cs="Times New Roman"/>
          <w:bCs/>
          <w:sz w:val="24"/>
          <w:szCs w:val="24"/>
        </w:rPr>
      </w:pPr>
    </w:p>
    <w:p w:rsidR="008153AD" w:rsidRDefault="008153AD" w:rsidP="008153AD">
      <w:pPr>
        <w:pStyle w:val="Prrafodelista"/>
        <w:spacing w:line="360" w:lineRule="auto"/>
        <w:jc w:val="center"/>
        <w:rPr>
          <w:rFonts w:ascii="Times New Roman" w:hAnsi="Times New Roman" w:cs="Times New Roman"/>
          <w:bCs/>
          <w:sz w:val="24"/>
          <w:szCs w:val="24"/>
        </w:rPr>
      </w:pPr>
    </w:p>
    <w:p w:rsidR="008153AD" w:rsidRDefault="008153AD" w:rsidP="008153AD">
      <w:pPr>
        <w:pStyle w:val="Prrafodelista"/>
        <w:spacing w:line="360" w:lineRule="auto"/>
        <w:jc w:val="center"/>
        <w:rPr>
          <w:rFonts w:ascii="Times New Roman" w:hAnsi="Times New Roman" w:cs="Times New Roman"/>
          <w:bCs/>
          <w:sz w:val="24"/>
          <w:szCs w:val="24"/>
        </w:rPr>
      </w:pPr>
    </w:p>
    <w:p w:rsidR="008153AD" w:rsidRDefault="008153AD" w:rsidP="008153AD">
      <w:pPr>
        <w:pStyle w:val="Prrafodelista"/>
        <w:spacing w:line="360" w:lineRule="auto"/>
        <w:jc w:val="center"/>
        <w:rPr>
          <w:rFonts w:ascii="Times New Roman" w:hAnsi="Times New Roman" w:cs="Times New Roman"/>
          <w:bCs/>
          <w:sz w:val="24"/>
          <w:szCs w:val="24"/>
        </w:rPr>
      </w:pPr>
    </w:p>
    <w:p w:rsidR="008153AD" w:rsidRDefault="008153AD" w:rsidP="008153AD">
      <w:pPr>
        <w:pStyle w:val="Prrafodelista"/>
        <w:spacing w:line="360" w:lineRule="auto"/>
        <w:rPr>
          <w:rFonts w:ascii="Times New Roman" w:hAnsi="Times New Roman" w:cs="Times New Roman"/>
          <w:bCs/>
          <w:sz w:val="18"/>
          <w:szCs w:val="18"/>
        </w:rPr>
      </w:pPr>
    </w:p>
    <w:p w:rsidR="0008671D" w:rsidRPr="0008671D" w:rsidRDefault="0008671D" w:rsidP="0008671D">
      <w:pPr>
        <w:jc w:val="center"/>
        <w:rPr>
          <w:rFonts w:ascii="Times New Roman" w:hAnsi="Times New Roman" w:cs="Times New Roman"/>
          <w:sz w:val="24"/>
          <w:szCs w:val="18"/>
        </w:rPr>
      </w:pPr>
      <w:r w:rsidRPr="0008671D">
        <w:rPr>
          <w:rFonts w:ascii="Times New Roman" w:hAnsi="Times New Roman" w:cs="Times New Roman"/>
          <w:sz w:val="24"/>
          <w:szCs w:val="18"/>
        </w:rPr>
        <w:t>Fuente: elaborado con base en INEGI, 2016.</w:t>
      </w:r>
    </w:p>
    <w:p w:rsidR="00E041EC" w:rsidRDefault="00E041EC" w:rsidP="008153AD">
      <w:pPr>
        <w:pStyle w:val="Prrafodelista"/>
        <w:spacing w:line="360" w:lineRule="auto"/>
        <w:rPr>
          <w:rFonts w:ascii="Times New Roman" w:hAnsi="Times New Roman" w:cs="Times New Roman"/>
          <w:bCs/>
          <w:sz w:val="18"/>
          <w:szCs w:val="18"/>
        </w:rPr>
      </w:pPr>
    </w:p>
    <w:p w:rsidR="008153AD" w:rsidRPr="0008671D" w:rsidRDefault="008153AD" w:rsidP="008153AD">
      <w:pPr>
        <w:pStyle w:val="Prrafodelista"/>
        <w:spacing w:line="360" w:lineRule="auto"/>
        <w:jc w:val="center"/>
        <w:rPr>
          <w:rFonts w:ascii="Times New Roman" w:hAnsi="Times New Roman" w:cs="Times New Roman"/>
          <w:bCs/>
          <w:sz w:val="24"/>
          <w:szCs w:val="20"/>
        </w:rPr>
      </w:pPr>
      <w:r w:rsidRPr="0008671D">
        <w:rPr>
          <w:rFonts w:ascii="Times New Roman" w:hAnsi="Times New Roman" w:cs="Times New Roman"/>
          <w:b/>
          <w:bCs/>
          <w:sz w:val="24"/>
          <w:szCs w:val="20"/>
        </w:rPr>
        <w:t>Tabla 2.</w:t>
      </w:r>
      <w:r w:rsidRPr="0008671D">
        <w:rPr>
          <w:rFonts w:ascii="Times New Roman" w:hAnsi="Times New Roman" w:cs="Times New Roman"/>
          <w:bCs/>
          <w:sz w:val="24"/>
          <w:szCs w:val="20"/>
        </w:rPr>
        <w:t xml:space="preserve"> Ejemplo del comportamiento cuantitativo de los indicadores socioeconómicos</w:t>
      </w:r>
    </w:p>
    <w:tbl>
      <w:tblPr>
        <w:tblW w:w="0" w:type="auto"/>
        <w:jc w:val="center"/>
        <w:tblCellMar>
          <w:left w:w="70" w:type="dxa"/>
          <w:right w:w="70" w:type="dxa"/>
        </w:tblCellMar>
        <w:tblLook w:val="04A0" w:firstRow="1" w:lastRow="0" w:firstColumn="1" w:lastColumn="0" w:noHBand="0" w:noVBand="1"/>
      </w:tblPr>
      <w:tblGrid>
        <w:gridCol w:w="1850"/>
        <w:gridCol w:w="791"/>
        <w:gridCol w:w="455"/>
        <w:gridCol w:w="521"/>
        <w:gridCol w:w="861"/>
        <w:gridCol w:w="751"/>
      </w:tblGrid>
      <w:tr w:rsidR="008153AD" w:rsidRPr="008153AD" w:rsidTr="00E041EC">
        <w:trPr>
          <w:trHeight w:val="300"/>
          <w:jc w:val="center"/>
        </w:trPr>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Municipio</w:t>
            </w:r>
          </w:p>
        </w:tc>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DP</w:t>
            </w:r>
          </w:p>
        </w:tc>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GU</w:t>
            </w:r>
          </w:p>
        </w:tc>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CTA</w:t>
            </w:r>
          </w:p>
        </w:tc>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CPI</w:t>
            </w:r>
          </w:p>
        </w:tc>
        <w:tc>
          <w:tcPr>
            <w:tcW w:w="0" w:type="auto"/>
            <w:tcBorders>
              <w:bottom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DV</w:t>
            </w:r>
          </w:p>
        </w:tc>
      </w:tr>
      <w:tr w:rsidR="008153AD" w:rsidRPr="008153AD" w:rsidTr="00E041EC">
        <w:trPr>
          <w:trHeight w:val="300"/>
          <w:jc w:val="center"/>
        </w:trPr>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p>
        </w:tc>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hab/km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w:t>
            </w:r>
          </w:p>
        </w:tc>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w:t>
            </w:r>
          </w:p>
        </w:tc>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USD/km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c>
          <w:tcPr>
            <w:tcW w:w="0" w:type="auto"/>
            <w:tcBorders>
              <w:top w:val="nil"/>
            </w:tcBorders>
            <w:shd w:val="clear" w:color="auto" w:fill="404040" w:themeFill="text1" w:themeFillTint="BF"/>
            <w:noWrap/>
            <w:vAlign w:val="bottom"/>
            <w:hideMark/>
          </w:tcPr>
          <w:p w:rsidR="008153AD" w:rsidRPr="00E041EC" w:rsidRDefault="008153AD"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km/km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r>
      <w:tr w:rsidR="008153AD" w:rsidRPr="008153AD" w:rsidTr="00E041EC">
        <w:trPr>
          <w:trHeight w:val="300"/>
          <w:jc w:val="center"/>
        </w:trPr>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Acapulco de Juárez</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419.6</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85.3</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1.6</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252996.0</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0.3</w:t>
            </w:r>
          </w:p>
        </w:tc>
      </w:tr>
      <w:tr w:rsidR="008153AD" w:rsidRPr="008153AD" w:rsidTr="00E041EC">
        <w:trPr>
          <w:trHeight w:val="300"/>
          <w:jc w:val="center"/>
        </w:trPr>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Ahuacuotzingo</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64.4</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0.1</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295.7</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1.0</w:t>
            </w:r>
          </w:p>
        </w:tc>
      </w:tr>
      <w:tr w:rsidR="008153AD" w:rsidRPr="008153AD" w:rsidTr="00E041EC">
        <w:trPr>
          <w:trHeight w:val="300"/>
          <w:jc w:val="center"/>
        </w:trPr>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Ajuchitlán del Progreso</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19.3</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6.6</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498.5</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0.2</w:t>
            </w:r>
          </w:p>
        </w:tc>
      </w:tr>
      <w:tr w:rsidR="008153AD" w:rsidRPr="008153AD" w:rsidTr="00E041EC">
        <w:trPr>
          <w:trHeight w:val="300"/>
          <w:jc w:val="center"/>
        </w:trPr>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Alcozauca de Guerrero</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34.4</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0.1</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276.5</w:t>
            </w:r>
          </w:p>
        </w:tc>
        <w:tc>
          <w:tcPr>
            <w:tcW w:w="0" w:type="auto"/>
            <w:tcBorders>
              <w:top w:val="nil"/>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0.4</w:t>
            </w:r>
          </w:p>
        </w:tc>
      </w:tr>
      <w:tr w:rsidR="008153AD" w:rsidRPr="008153AD" w:rsidTr="00E041EC">
        <w:trPr>
          <w:trHeight w:val="300"/>
          <w:jc w:val="center"/>
        </w:trPr>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Alpoyeca</w:t>
            </w:r>
          </w:p>
        </w:tc>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42.7</w:t>
            </w:r>
          </w:p>
        </w:tc>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0.9</w:t>
            </w:r>
          </w:p>
        </w:tc>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1453.1</w:t>
            </w:r>
          </w:p>
        </w:tc>
        <w:tc>
          <w:tcPr>
            <w:tcW w:w="0" w:type="auto"/>
            <w:tcBorders>
              <w:top w:val="nil"/>
              <w:bottom w:val="single" w:sz="4" w:space="0" w:color="auto"/>
            </w:tcBorders>
            <w:shd w:val="clear" w:color="auto" w:fill="auto"/>
            <w:noWrap/>
            <w:vAlign w:val="bottom"/>
            <w:hideMark/>
          </w:tcPr>
          <w:p w:rsidR="008153AD" w:rsidRPr="0014537D" w:rsidRDefault="008153AD"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0.1</w:t>
            </w:r>
          </w:p>
        </w:tc>
      </w:tr>
    </w:tbl>
    <w:p w:rsidR="008153AD" w:rsidRDefault="002F0524" w:rsidP="0008671D">
      <w:pPr>
        <w:pStyle w:val="Prrafodelista"/>
        <w:spacing w:line="360" w:lineRule="auto"/>
        <w:jc w:val="center"/>
        <w:rPr>
          <w:rFonts w:ascii="Times New Roman" w:hAnsi="Times New Roman" w:cs="Times New Roman"/>
          <w:bCs/>
          <w:sz w:val="18"/>
          <w:szCs w:val="18"/>
        </w:rPr>
      </w:pPr>
      <w:r w:rsidRPr="0008671D">
        <w:rPr>
          <w:rFonts w:ascii="Times New Roman" w:hAnsi="Times New Roman" w:cs="Times New Roman"/>
          <w:bCs/>
          <w:sz w:val="24"/>
          <w:szCs w:val="18"/>
        </w:rPr>
        <w:t>Fuente: el</w:t>
      </w:r>
      <w:r w:rsidR="000335F8" w:rsidRPr="0008671D">
        <w:rPr>
          <w:rFonts w:ascii="Times New Roman" w:hAnsi="Times New Roman" w:cs="Times New Roman"/>
          <w:bCs/>
          <w:sz w:val="24"/>
          <w:szCs w:val="18"/>
        </w:rPr>
        <w:t xml:space="preserve">aborado con base en la </w:t>
      </w:r>
      <w:r w:rsidR="00BA73D8" w:rsidRPr="0008671D">
        <w:rPr>
          <w:rFonts w:ascii="Times New Roman" w:hAnsi="Times New Roman" w:cs="Times New Roman"/>
          <w:bCs/>
          <w:sz w:val="24"/>
          <w:szCs w:val="18"/>
        </w:rPr>
        <w:t>t</w:t>
      </w:r>
      <w:r w:rsidR="000335F8" w:rsidRPr="0008671D">
        <w:rPr>
          <w:rFonts w:ascii="Times New Roman" w:hAnsi="Times New Roman" w:cs="Times New Roman"/>
          <w:bCs/>
          <w:sz w:val="24"/>
          <w:szCs w:val="18"/>
        </w:rPr>
        <w:t>abla 1.</w:t>
      </w:r>
    </w:p>
    <w:p w:rsidR="000335F8" w:rsidRPr="002F0524" w:rsidRDefault="000335F8" w:rsidP="002F0524">
      <w:pPr>
        <w:pStyle w:val="Prrafodelista"/>
        <w:spacing w:line="360" w:lineRule="auto"/>
        <w:rPr>
          <w:rFonts w:ascii="Times New Roman" w:hAnsi="Times New Roman" w:cs="Times New Roman"/>
          <w:bCs/>
          <w:sz w:val="18"/>
          <w:szCs w:val="18"/>
        </w:rPr>
      </w:pPr>
    </w:p>
    <w:p w:rsidR="008153AD" w:rsidRDefault="008153AD" w:rsidP="008153AD">
      <w:pPr>
        <w:pStyle w:val="Prrafodelista"/>
        <w:spacing w:line="360" w:lineRule="auto"/>
        <w:rPr>
          <w:rFonts w:ascii="Times New Roman" w:hAnsi="Times New Roman" w:cs="Times New Roman"/>
          <w:bCs/>
          <w:sz w:val="18"/>
          <w:szCs w:val="18"/>
        </w:rPr>
      </w:pPr>
    </w:p>
    <w:p w:rsidR="00822D4B" w:rsidRDefault="00822D4B" w:rsidP="00DB36F0">
      <w:pPr>
        <w:pStyle w:val="Prrafodelista"/>
        <w:numPr>
          <w:ilvl w:val="0"/>
          <w:numId w:val="1"/>
        </w:num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Clasificación cualitativa de los indicadores. Los valores de cada uno de los indicadores se ordenaron de manera descendente para observar su variación. Esto facilitó la conformación de cinco rangos como vías de generalización cualitativa (Propin, 2003). Los calificativos que se emplean y su codificación numérica son: muy alta (5), alta (4), media (3), baja</w:t>
      </w:r>
      <w:r w:rsidR="007F1D8A">
        <w:rPr>
          <w:rFonts w:ascii="Times New Roman" w:hAnsi="Times New Roman" w:cs="Times New Roman"/>
          <w:bCs/>
          <w:sz w:val="24"/>
          <w:szCs w:val="24"/>
        </w:rPr>
        <w:t xml:space="preserve"> (2) y muy baja (1)</w:t>
      </w:r>
      <w:r w:rsidR="002F0524">
        <w:rPr>
          <w:rFonts w:ascii="Times New Roman" w:hAnsi="Times New Roman" w:cs="Times New Roman"/>
          <w:bCs/>
          <w:sz w:val="24"/>
          <w:szCs w:val="24"/>
        </w:rPr>
        <w:t xml:space="preserve"> (</w:t>
      </w:r>
      <w:r w:rsidR="00BA73D8">
        <w:rPr>
          <w:rFonts w:ascii="Times New Roman" w:hAnsi="Times New Roman" w:cs="Times New Roman"/>
          <w:bCs/>
          <w:sz w:val="24"/>
          <w:szCs w:val="24"/>
        </w:rPr>
        <w:t>t</w:t>
      </w:r>
      <w:r w:rsidR="002F0524">
        <w:rPr>
          <w:rFonts w:ascii="Times New Roman" w:hAnsi="Times New Roman" w:cs="Times New Roman"/>
          <w:bCs/>
          <w:sz w:val="24"/>
          <w:szCs w:val="24"/>
        </w:rPr>
        <w:t>abla 3)</w:t>
      </w:r>
      <w:r w:rsidRPr="00DB36F0">
        <w:rPr>
          <w:rFonts w:ascii="Times New Roman" w:hAnsi="Times New Roman" w:cs="Times New Roman"/>
          <w:bCs/>
          <w:sz w:val="24"/>
          <w:szCs w:val="24"/>
        </w:rPr>
        <w:t>. Sucesivamente, se elaboró una nueva matriz</w:t>
      </w:r>
      <w:r w:rsidR="00245E23">
        <w:rPr>
          <w:rFonts w:ascii="Times New Roman" w:hAnsi="Times New Roman" w:cs="Times New Roman"/>
          <w:bCs/>
          <w:sz w:val="24"/>
          <w:szCs w:val="24"/>
        </w:rPr>
        <w:t xml:space="preserve"> donde</w:t>
      </w:r>
      <w:r w:rsidRPr="00DB36F0">
        <w:rPr>
          <w:rFonts w:ascii="Times New Roman" w:hAnsi="Times New Roman" w:cs="Times New Roman"/>
          <w:bCs/>
          <w:sz w:val="24"/>
          <w:szCs w:val="24"/>
        </w:rPr>
        <w:t xml:space="preserve"> se sustituyeron los montos de los cinco indicadores socioeconómicos por combinaciones </w:t>
      </w:r>
      <w:r w:rsidRPr="00DB36F0">
        <w:rPr>
          <w:rFonts w:ascii="Times New Roman" w:hAnsi="Times New Roman" w:cs="Times New Roman"/>
          <w:bCs/>
          <w:sz w:val="24"/>
          <w:szCs w:val="24"/>
        </w:rPr>
        <w:lastRenderedPageBreak/>
        <w:t xml:space="preserve">de índices clasificatorios que corresponden a cada municipio, según el rango </w:t>
      </w:r>
      <w:r w:rsidR="007F1D8A">
        <w:rPr>
          <w:rFonts w:ascii="Times New Roman" w:hAnsi="Times New Roman" w:cs="Times New Roman"/>
          <w:bCs/>
          <w:sz w:val="24"/>
          <w:szCs w:val="24"/>
        </w:rPr>
        <w:t>asignado a su valor</w:t>
      </w:r>
      <w:r w:rsidR="002F0524">
        <w:rPr>
          <w:rFonts w:ascii="Times New Roman" w:hAnsi="Times New Roman" w:cs="Times New Roman"/>
          <w:bCs/>
          <w:sz w:val="24"/>
          <w:szCs w:val="24"/>
        </w:rPr>
        <w:t xml:space="preserve"> (</w:t>
      </w:r>
      <w:r w:rsidR="00BA73D8">
        <w:rPr>
          <w:rFonts w:ascii="Times New Roman" w:hAnsi="Times New Roman" w:cs="Times New Roman"/>
          <w:bCs/>
          <w:sz w:val="24"/>
          <w:szCs w:val="24"/>
        </w:rPr>
        <w:t>t</w:t>
      </w:r>
      <w:r w:rsidR="002F0524">
        <w:rPr>
          <w:rFonts w:ascii="Times New Roman" w:hAnsi="Times New Roman" w:cs="Times New Roman"/>
          <w:bCs/>
          <w:sz w:val="24"/>
          <w:szCs w:val="24"/>
        </w:rPr>
        <w:t>abla 4)</w:t>
      </w:r>
      <w:r w:rsidRPr="00DB36F0">
        <w:rPr>
          <w:rFonts w:ascii="Times New Roman" w:hAnsi="Times New Roman" w:cs="Times New Roman"/>
          <w:bCs/>
          <w:sz w:val="24"/>
          <w:szCs w:val="24"/>
        </w:rPr>
        <w:t>.</w:t>
      </w:r>
    </w:p>
    <w:p w:rsidR="00A81185" w:rsidRDefault="00A81185" w:rsidP="00A81185">
      <w:pPr>
        <w:pStyle w:val="Prrafodelista"/>
        <w:spacing w:line="360" w:lineRule="auto"/>
        <w:jc w:val="both"/>
        <w:rPr>
          <w:rFonts w:ascii="Times New Roman" w:hAnsi="Times New Roman" w:cs="Times New Roman"/>
          <w:bCs/>
          <w:sz w:val="24"/>
          <w:szCs w:val="24"/>
        </w:rPr>
      </w:pPr>
    </w:p>
    <w:p w:rsidR="002F0524" w:rsidRPr="002F0524" w:rsidRDefault="002F0524" w:rsidP="002F0524">
      <w:pPr>
        <w:pStyle w:val="Prrafodelista"/>
        <w:spacing w:line="360" w:lineRule="auto"/>
        <w:jc w:val="center"/>
        <w:rPr>
          <w:rFonts w:ascii="Times New Roman" w:hAnsi="Times New Roman" w:cs="Times New Roman"/>
          <w:b/>
          <w:bCs/>
          <w:sz w:val="20"/>
          <w:szCs w:val="20"/>
        </w:rPr>
      </w:pPr>
      <w:r w:rsidRPr="0008671D">
        <w:rPr>
          <w:rFonts w:ascii="Times New Roman" w:hAnsi="Times New Roman" w:cs="Times New Roman"/>
          <w:b/>
          <w:bCs/>
          <w:sz w:val="24"/>
          <w:szCs w:val="20"/>
        </w:rPr>
        <w:t xml:space="preserve">Tabla 3. </w:t>
      </w:r>
      <w:r w:rsidRPr="0008671D">
        <w:rPr>
          <w:rFonts w:ascii="Times New Roman" w:hAnsi="Times New Roman" w:cs="Times New Roman"/>
          <w:bCs/>
          <w:sz w:val="24"/>
          <w:szCs w:val="20"/>
        </w:rPr>
        <w:t>Clasificación cualitativa de indicadores</w:t>
      </w:r>
    </w:p>
    <w:tbl>
      <w:tblPr>
        <w:tblW w:w="0" w:type="auto"/>
        <w:jc w:val="center"/>
        <w:tblCellMar>
          <w:left w:w="70" w:type="dxa"/>
          <w:right w:w="70" w:type="dxa"/>
        </w:tblCellMar>
        <w:tblLook w:val="04A0" w:firstRow="1" w:lastRow="0" w:firstColumn="1" w:lastColumn="0" w:noHBand="0" w:noVBand="1"/>
      </w:tblPr>
      <w:tblGrid>
        <w:gridCol w:w="901"/>
        <w:gridCol w:w="1097"/>
        <w:gridCol w:w="917"/>
        <w:gridCol w:w="1232"/>
        <w:gridCol w:w="1306"/>
        <w:gridCol w:w="1007"/>
      </w:tblGrid>
      <w:tr w:rsidR="002F0524" w:rsidRPr="002F0524" w:rsidTr="00E041EC">
        <w:trPr>
          <w:trHeight w:val="300"/>
          <w:jc w:val="center"/>
        </w:trPr>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Indicador</w:t>
            </w:r>
          </w:p>
        </w:tc>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DP</w:t>
            </w:r>
          </w:p>
        </w:tc>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GU</w:t>
            </w:r>
          </w:p>
        </w:tc>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CTA</w:t>
            </w:r>
          </w:p>
        </w:tc>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CPI</w:t>
            </w:r>
          </w:p>
        </w:tc>
        <w:tc>
          <w:tcPr>
            <w:tcW w:w="0" w:type="auto"/>
            <w:tcBorders>
              <w:bottom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DV</w:t>
            </w:r>
          </w:p>
        </w:tc>
      </w:tr>
      <w:tr w:rsidR="002F0524" w:rsidRPr="002F0524" w:rsidTr="00E041EC">
        <w:trPr>
          <w:trHeight w:val="300"/>
          <w:jc w:val="center"/>
        </w:trPr>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Rango</w:t>
            </w:r>
          </w:p>
        </w:tc>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hab/km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w:t>
            </w:r>
          </w:p>
        </w:tc>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w:t>
            </w:r>
          </w:p>
        </w:tc>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miles USD/km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c>
          <w:tcPr>
            <w:tcW w:w="0" w:type="auto"/>
            <w:tcBorders>
              <w:top w:val="nil"/>
            </w:tcBorders>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km/km</w:t>
            </w:r>
            <w:r w:rsidRPr="00E041EC">
              <w:rPr>
                <w:rFonts w:ascii="Times New Roman" w:eastAsia="Times New Roman" w:hAnsi="Times New Roman" w:cs="Times New Roman"/>
                <w:b/>
                <w:bCs/>
                <w:color w:val="D9D9D9" w:themeColor="background1" w:themeShade="D9"/>
                <w:sz w:val="18"/>
                <w:szCs w:val="18"/>
                <w:vertAlign w:val="superscript"/>
                <w:lang w:eastAsia="es-MX"/>
              </w:rPr>
              <w:t>2</w:t>
            </w:r>
          </w:p>
        </w:tc>
      </w:tr>
      <w:tr w:rsidR="002F0524" w:rsidRPr="002F0524" w:rsidTr="00E041EC">
        <w:trPr>
          <w:trHeight w:val="300"/>
          <w:jc w:val="center"/>
        </w:trPr>
        <w:tc>
          <w:tcPr>
            <w:tcW w:w="0" w:type="auto"/>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i/>
                <w:iCs/>
                <w:color w:val="000000"/>
                <w:sz w:val="18"/>
                <w:szCs w:val="18"/>
                <w:lang w:eastAsia="es-MX"/>
              </w:rPr>
            </w:pPr>
            <w:r w:rsidRPr="0014537D">
              <w:rPr>
                <w:rFonts w:ascii="Times New Roman" w:eastAsia="Times New Roman" w:hAnsi="Times New Roman" w:cs="Times New Roman"/>
                <w:i/>
                <w:iCs/>
                <w:color w:val="000000"/>
                <w:sz w:val="18"/>
                <w:szCs w:val="18"/>
                <w:lang w:eastAsia="es-MX"/>
              </w:rPr>
              <w:t>Muy alto</w:t>
            </w:r>
          </w:p>
        </w:tc>
        <w:tc>
          <w:tcPr>
            <w:tcW w:w="0" w:type="auto"/>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300</w:t>
            </w:r>
          </w:p>
        </w:tc>
        <w:tc>
          <w:tcPr>
            <w:tcW w:w="0" w:type="auto"/>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80</w:t>
            </w:r>
          </w:p>
        </w:tc>
        <w:tc>
          <w:tcPr>
            <w:tcW w:w="0" w:type="auto"/>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6.0</w:t>
            </w:r>
          </w:p>
        </w:tc>
        <w:tc>
          <w:tcPr>
            <w:tcW w:w="0" w:type="auto"/>
            <w:shd w:val="clear" w:color="auto" w:fill="auto"/>
            <w:noWrap/>
            <w:vAlign w:val="bottom"/>
            <w:hideMark/>
          </w:tcPr>
          <w:p w:rsidR="002F0524" w:rsidRPr="0014537D" w:rsidRDefault="002F0524" w:rsidP="002F0524">
            <w:pPr>
              <w:spacing w:after="0" w:line="240" w:lineRule="auto"/>
              <w:ind w:right="164"/>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260</w:t>
            </w:r>
          </w:p>
        </w:tc>
        <w:tc>
          <w:tcPr>
            <w:tcW w:w="0" w:type="auto"/>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1.0</w:t>
            </w:r>
          </w:p>
        </w:tc>
      </w:tr>
      <w:tr w:rsidR="002F0524" w:rsidRPr="002F0524" w:rsidTr="00E041EC">
        <w:trPr>
          <w:trHeight w:val="300"/>
          <w:jc w:val="center"/>
        </w:trPr>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i/>
                <w:iCs/>
                <w:color w:val="000000"/>
                <w:sz w:val="18"/>
                <w:szCs w:val="18"/>
                <w:lang w:eastAsia="es-MX"/>
              </w:rPr>
            </w:pPr>
            <w:r w:rsidRPr="0014537D">
              <w:rPr>
                <w:rFonts w:ascii="Times New Roman" w:eastAsia="Times New Roman" w:hAnsi="Times New Roman" w:cs="Times New Roman"/>
                <w:i/>
                <w:iCs/>
                <w:color w:val="000000"/>
                <w:sz w:val="18"/>
                <w:szCs w:val="18"/>
                <w:lang w:eastAsia="es-MX"/>
              </w:rPr>
              <w:t>Alto</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200,…,300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60,…,80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3.96,…,6.0</w:t>
            </w:r>
          </w:p>
        </w:tc>
        <w:tc>
          <w:tcPr>
            <w:tcW w:w="0" w:type="auto"/>
            <w:tcBorders>
              <w:top w:val="nil"/>
            </w:tcBorders>
            <w:shd w:val="clear" w:color="auto" w:fill="auto"/>
            <w:noWrap/>
            <w:vAlign w:val="bottom"/>
            <w:hideMark/>
          </w:tcPr>
          <w:p w:rsidR="002F0524" w:rsidRPr="0014537D" w:rsidRDefault="002F0524" w:rsidP="002F0524">
            <w:pPr>
              <w:spacing w:after="0" w:line="240" w:lineRule="auto"/>
              <w:ind w:right="164"/>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&gt;70,…,260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0.6,…,1.0</w:t>
            </w:r>
          </w:p>
        </w:tc>
      </w:tr>
      <w:tr w:rsidR="002F0524" w:rsidRPr="002F0524" w:rsidTr="00E041EC">
        <w:trPr>
          <w:trHeight w:val="300"/>
          <w:jc w:val="center"/>
        </w:trPr>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i/>
                <w:iCs/>
                <w:color w:val="000000"/>
                <w:sz w:val="18"/>
                <w:szCs w:val="18"/>
                <w:lang w:eastAsia="es-MX"/>
              </w:rPr>
            </w:pPr>
            <w:r w:rsidRPr="0014537D">
              <w:rPr>
                <w:rFonts w:ascii="Times New Roman" w:eastAsia="Times New Roman" w:hAnsi="Times New Roman" w:cs="Times New Roman"/>
                <w:i/>
                <w:iCs/>
                <w:color w:val="000000"/>
                <w:sz w:val="18"/>
                <w:szCs w:val="18"/>
                <w:lang w:eastAsia="es-MX"/>
              </w:rPr>
              <w:t>Medio</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50,…,200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50,…60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2.64,…, 3.96</w:t>
            </w:r>
          </w:p>
        </w:tc>
        <w:tc>
          <w:tcPr>
            <w:tcW w:w="0" w:type="auto"/>
            <w:tcBorders>
              <w:top w:val="nil"/>
            </w:tcBorders>
            <w:shd w:val="clear" w:color="auto" w:fill="auto"/>
            <w:noWrap/>
            <w:vAlign w:val="bottom"/>
            <w:hideMark/>
          </w:tcPr>
          <w:p w:rsidR="002F0524" w:rsidRPr="0014537D" w:rsidRDefault="002F0524" w:rsidP="002F0524">
            <w:pPr>
              <w:spacing w:after="0" w:line="240" w:lineRule="auto"/>
              <w:ind w:right="164"/>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14.5,…,70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0.4,…,0.6</w:t>
            </w:r>
          </w:p>
        </w:tc>
      </w:tr>
      <w:tr w:rsidR="002F0524" w:rsidRPr="002F0524" w:rsidTr="00E041EC">
        <w:trPr>
          <w:trHeight w:val="300"/>
          <w:jc w:val="center"/>
        </w:trPr>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i/>
                <w:iCs/>
                <w:color w:val="000000"/>
                <w:sz w:val="18"/>
                <w:szCs w:val="18"/>
                <w:lang w:eastAsia="es-MX"/>
              </w:rPr>
            </w:pPr>
            <w:r w:rsidRPr="0014537D">
              <w:rPr>
                <w:rFonts w:ascii="Times New Roman" w:eastAsia="Times New Roman" w:hAnsi="Times New Roman" w:cs="Times New Roman"/>
                <w:i/>
                <w:iCs/>
                <w:color w:val="000000"/>
                <w:sz w:val="18"/>
                <w:szCs w:val="18"/>
                <w:lang w:eastAsia="es-MX"/>
              </w:rPr>
              <w:t>Bajo</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35,…,50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20,…,50</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&gt;1.32,…, 2.64</w:t>
            </w:r>
          </w:p>
        </w:tc>
        <w:tc>
          <w:tcPr>
            <w:tcW w:w="0" w:type="auto"/>
            <w:tcBorders>
              <w:top w:val="nil"/>
            </w:tcBorders>
            <w:shd w:val="clear" w:color="auto" w:fill="auto"/>
            <w:noWrap/>
            <w:vAlign w:val="bottom"/>
            <w:hideMark/>
          </w:tcPr>
          <w:p w:rsidR="002F0524" w:rsidRPr="0014537D" w:rsidRDefault="002F0524" w:rsidP="002F0524">
            <w:pPr>
              <w:spacing w:after="0" w:line="240" w:lineRule="auto"/>
              <w:ind w:right="164"/>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3.5,…,14.5</w:t>
            </w:r>
          </w:p>
        </w:tc>
        <w:tc>
          <w:tcPr>
            <w:tcW w:w="0" w:type="auto"/>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&gt; 0.2,…,0.4</w:t>
            </w:r>
          </w:p>
        </w:tc>
      </w:tr>
      <w:tr w:rsidR="002F0524" w:rsidRPr="002F0524" w:rsidTr="00E041EC">
        <w:trPr>
          <w:trHeight w:val="300"/>
          <w:jc w:val="center"/>
        </w:trPr>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i/>
                <w:iCs/>
                <w:color w:val="000000"/>
                <w:sz w:val="18"/>
                <w:szCs w:val="18"/>
                <w:lang w:eastAsia="es-MX"/>
              </w:rPr>
            </w:pPr>
            <w:r w:rsidRPr="0014537D">
              <w:rPr>
                <w:rFonts w:ascii="Times New Roman" w:eastAsia="Times New Roman" w:hAnsi="Times New Roman" w:cs="Times New Roman"/>
                <w:i/>
                <w:iCs/>
                <w:color w:val="000000"/>
                <w:sz w:val="18"/>
                <w:szCs w:val="18"/>
                <w:lang w:eastAsia="es-MX"/>
              </w:rPr>
              <w:t>Muy bajo</w:t>
            </w:r>
          </w:p>
        </w:tc>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&lt; 35</w:t>
            </w:r>
          </w:p>
        </w:tc>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0</w:t>
            </w:r>
          </w:p>
        </w:tc>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&lt; 1.32</w:t>
            </w:r>
          </w:p>
        </w:tc>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ind w:right="164"/>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&lt; 3.5</w:t>
            </w:r>
          </w:p>
        </w:tc>
        <w:tc>
          <w:tcPr>
            <w:tcW w:w="0" w:type="auto"/>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&lt; 0.2</w:t>
            </w:r>
          </w:p>
        </w:tc>
      </w:tr>
    </w:tbl>
    <w:p w:rsidR="00E041EC" w:rsidRDefault="00E041EC" w:rsidP="002F0524">
      <w:pPr>
        <w:pStyle w:val="Prrafodelista"/>
        <w:spacing w:line="360" w:lineRule="auto"/>
        <w:jc w:val="center"/>
        <w:rPr>
          <w:rFonts w:ascii="Times New Roman" w:hAnsi="Times New Roman" w:cs="Times New Roman"/>
          <w:b/>
          <w:bCs/>
          <w:sz w:val="20"/>
          <w:szCs w:val="20"/>
        </w:rPr>
      </w:pPr>
    </w:p>
    <w:p w:rsidR="0008671D" w:rsidRPr="0008671D" w:rsidRDefault="0008671D" w:rsidP="0008671D">
      <w:pPr>
        <w:jc w:val="center"/>
        <w:rPr>
          <w:sz w:val="32"/>
        </w:rPr>
      </w:pPr>
      <w:r w:rsidRPr="0008671D">
        <w:rPr>
          <w:rFonts w:ascii="Times New Roman" w:hAnsi="Times New Roman" w:cs="Times New Roman"/>
          <w:bCs/>
          <w:sz w:val="24"/>
          <w:szCs w:val="18"/>
        </w:rPr>
        <w:t>Fuente: elaborado con base en el comportamiento de los indicadores ponderados.</w:t>
      </w:r>
    </w:p>
    <w:p w:rsidR="00A81185" w:rsidRDefault="00A81185" w:rsidP="002F0524">
      <w:pPr>
        <w:pStyle w:val="Prrafodelista"/>
        <w:spacing w:line="360" w:lineRule="auto"/>
        <w:jc w:val="center"/>
        <w:rPr>
          <w:rFonts w:ascii="Times New Roman" w:hAnsi="Times New Roman" w:cs="Times New Roman"/>
          <w:b/>
          <w:bCs/>
          <w:sz w:val="20"/>
          <w:szCs w:val="20"/>
        </w:rPr>
      </w:pPr>
    </w:p>
    <w:p w:rsidR="002F0524" w:rsidRPr="0008671D" w:rsidRDefault="002F0524" w:rsidP="002F0524">
      <w:pPr>
        <w:pStyle w:val="Prrafodelista"/>
        <w:spacing w:line="360" w:lineRule="auto"/>
        <w:jc w:val="center"/>
        <w:rPr>
          <w:rFonts w:ascii="Times New Roman" w:hAnsi="Times New Roman" w:cs="Times New Roman"/>
          <w:b/>
          <w:bCs/>
          <w:sz w:val="24"/>
          <w:szCs w:val="20"/>
        </w:rPr>
      </w:pPr>
      <w:r w:rsidRPr="0008671D">
        <w:rPr>
          <w:rFonts w:ascii="Times New Roman" w:hAnsi="Times New Roman" w:cs="Times New Roman"/>
          <w:b/>
          <w:bCs/>
          <w:sz w:val="24"/>
          <w:szCs w:val="20"/>
        </w:rPr>
        <w:t xml:space="preserve">Tabla 4. </w:t>
      </w:r>
      <w:r w:rsidRPr="0008671D">
        <w:rPr>
          <w:rFonts w:ascii="Times New Roman" w:hAnsi="Times New Roman" w:cs="Times New Roman"/>
          <w:bCs/>
          <w:sz w:val="24"/>
          <w:szCs w:val="20"/>
        </w:rPr>
        <w:t>Ejemplos de indicadores ponderados</w:t>
      </w:r>
    </w:p>
    <w:tbl>
      <w:tblPr>
        <w:tblW w:w="0" w:type="auto"/>
        <w:jc w:val="center"/>
        <w:tblLayout w:type="fixed"/>
        <w:tblCellMar>
          <w:left w:w="70" w:type="dxa"/>
          <w:right w:w="70" w:type="dxa"/>
        </w:tblCellMar>
        <w:tblLook w:val="04A0" w:firstRow="1" w:lastRow="0" w:firstColumn="1" w:lastColumn="0" w:noHBand="0" w:noVBand="1"/>
      </w:tblPr>
      <w:tblGrid>
        <w:gridCol w:w="2147"/>
        <w:gridCol w:w="567"/>
        <w:gridCol w:w="567"/>
        <w:gridCol w:w="567"/>
        <w:gridCol w:w="567"/>
        <w:gridCol w:w="567"/>
      </w:tblGrid>
      <w:tr w:rsidR="002F0524" w:rsidRPr="002F0524" w:rsidTr="00E041EC">
        <w:trPr>
          <w:trHeight w:val="304"/>
          <w:jc w:val="center"/>
        </w:trPr>
        <w:tc>
          <w:tcPr>
            <w:tcW w:w="214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Municipio</w:t>
            </w:r>
          </w:p>
        </w:tc>
        <w:tc>
          <w:tcPr>
            <w:tcW w:w="56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DP</w:t>
            </w:r>
          </w:p>
        </w:tc>
        <w:tc>
          <w:tcPr>
            <w:tcW w:w="56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GU</w:t>
            </w:r>
          </w:p>
        </w:tc>
        <w:tc>
          <w:tcPr>
            <w:tcW w:w="56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CTA</w:t>
            </w:r>
          </w:p>
        </w:tc>
        <w:tc>
          <w:tcPr>
            <w:tcW w:w="56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CPI</w:t>
            </w:r>
          </w:p>
        </w:tc>
        <w:tc>
          <w:tcPr>
            <w:tcW w:w="567" w:type="dxa"/>
            <w:shd w:val="clear" w:color="auto" w:fill="404040" w:themeFill="text1" w:themeFillTint="BF"/>
            <w:noWrap/>
            <w:vAlign w:val="bottom"/>
            <w:hideMark/>
          </w:tcPr>
          <w:p w:rsidR="002F0524" w:rsidRPr="00E041EC" w:rsidRDefault="002F0524" w:rsidP="002F0524">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E041EC">
              <w:rPr>
                <w:rFonts w:ascii="Times New Roman" w:eastAsia="Times New Roman" w:hAnsi="Times New Roman" w:cs="Times New Roman"/>
                <w:b/>
                <w:bCs/>
                <w:color w:val="D9D9D9" w:themeColor="background1" w:themeShade="D9"/>
                <w:sz w:val="18"/>
                <w:szCs w:val="18"/>
                <w:lang w:eastAsia="es-MX"/>
              </w:rPr>
              <w:t>DV</w:t>
            </w:r>
          </w:p>
        </w:tc>
      </w:tr>
      <w:tr w:rsidR="002F0524" w:rsidRPr="002F0524" w:rsidTr="00E041EC">
        <w:trPr>
          <w:trHeight w:val="304"/>
          <w:jc w:val="center"/>
        </w:trPr>
        <w:tc>
          <w:tcPr>
            <w:tcW w:w="2147" w:type="dxa"/>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Acapulco de Juárez</w:t>
            </w:r>
          </w:p>
        </w:tc>
        <w:tc>
          <w:tcPr>
            <w:tcW w:w="567" w:type="dxa"/>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c>
          <w:tcPr>
            <w:tcW w:w="567" w:type="dxa"/>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c>
          <w:tcPr>
            <w:tcW w:w="567" w:type="dxa"/>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567" w:type="dxa"/>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w:t>
            </w:r>
          </w:p>
        </w:tc>
        <w:tc>
          <w:tcPr>
            <w:tcW w:w="567" w:type="dxa"/>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r>
      <w:tr w:rsidR="002F0524" w:rsidRPr="002F0524" w:rsidTr="00E041EC">
        <w:trPr>
          <w:trHeight w:val="304"/>
          <w:jc w:val="center"/>
        </w:trPr>
        <w:tc>
          <w:tcPr>
            <w:tcW w:w="2147" w:type="dxa"/>
            <w:tcBorders>
              <w:top w:val="nil"/>
            </w:tcBorders>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Acatepec</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r>
      <w:tr w:rsidR="002F0524" w:rsidRPr="002F0524" w:rsidTr="00E041EC">
        <w:trPr>
          <w:trHeight w:val="304"/>
          <w:jc w:val="center"/>
        </w:trPr>
        <w:tc>
          <w:tcPr>
            <w:tcW w:w="2147" w:type="dxa"/>
            <w:tcBorders>
              <w:top w:val="nil"/>
            </w:tcBorders>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Ahuacuotzingo</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r>
      <w:tr w:rsidR="002F0524" w:rsidRPr="002F0524" w:rsidTr="00E041EC">
        <w:trPr>
          <w:trHeight w:val="304"/>
          <w:jc w:val="center"/>
        </w:trPr>
        <w:tc>
          <w:tcPr>
            <w:tcW w:w="2147" w:type="dxa"/>
            <w:tcBorders>
              <w:top w:val="nil"/>
            </w:tcBorders>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Ajuchitlán del Progreso</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2F0524" w:rsidRPr="002F0524" w:rsidTr="00E041EC">
        <w:trPr>
          <w:trHeight w:val="304"/>
          <w:jc w:val="center"/>
        </w:trPr>
        <w:tc>
          <w:tcPr>
            <w:tcW w:w="2147" w:type="dxa"/>
            <w:tcBorders>
              <w:top w:val="nil"/>
            </w:tcBorders>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Alcozauca de Guerrero</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r>
      <w:tr w:rsidR="002F0524" w:rsidRPr="002F0524" w:rsidTr="00E041EC">
        <w:trPr>
          <w:trHeight w:val="304"/>
          <w:jc w:val="center"/>
        </w:trPr>
        <w:tc>
          <w:tcPr>
            <w:tcW w:w="214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Alpoyeca</w:t>
            </w:r>
          </w:p>
        </w:tc>
        <w:tc>
          <w:tcPr>
            <w:tcW w:w="56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56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567" w:type="dxa"/>
            <w:tcBorders>
              <w:top w:val="nil"/>
              <w:bottom w:val="single" w:sz="4" w:space="0" w:color="auto"/>
            </w:tcBorders>
            <w:shd w:val="clear" w:color="auto" w:fill="auto"/>
            <w:noWrap/>
            <w:vAlign w:val="bottom"/>
            <w:hideMark/>
          </w:tcPr>
          <w:p w:rsidR="002F0524" w:rsidRPr="0014537D" w:rsidRDefault="002F0524" w:rsidP="002F0524">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bl>
    <w:p w:rsidR="002F0524" w:rsidRPr="002F0524" w:rsidRDefault="002F0524" w:rsidP="002F0524">
      <w:pPr>
        <w:pStyle w:val="Prrafodelista"/>
        <w:spacing w:line="360" w:lineRule="auto"/>
        <w:jc w:val="center"/>
        <w:rPr>
          <w:rFonts w:ascii="Times New Roman" w:hAnsi="Times New Roman" w:cs="Times New Roman"/>
          <w:b/>
          <w:bCs/>
          <w:sz w:val="20"/>
          <w:szCs w:val="20"/>
        </w:rPr>
      </w:pPr>
    </w:p>
    <w:p w:rsidR="0008671D" w:rsidRPr="0008671D" w:rsidRDefault="0008671D" w:rsidP="0008671D">
      <w:pPr>
        <w:jc w:val="center"/>
        <w:rPr>
          <w:rFonts w:ascii="Times New Roman" w:hAnsi="Times New Roman" w:cs="Times New Roman"/>
          <w:sz w:val="24"/>
          <w:szCs w:val="18"/>
        </w:rPr>
      </w:pPr>
      <w:r w:rsidRPr="0008671D">
        <w:rPr>
          <w:rFonts w:ascii="Times New Roman" w:hAnsi="Times New Roman" w:cs="Times New Roman"/>
          <w:sz w:val="24"/>
          <w:szCs w:val="18"/>
        </w:rPr>
        <w:t>Fuente: elaborado con base en las tablas 2 y 3.</w:t>
      </w:r>
    </w:p>
    <w:p w:rsidR="002F0524" w:rsidRDefault="002F0524" w:rsidP="002F0524">
      <w:pPr>
        <w:pStyle w:val="Prrafodelista"/>
        <w:spacing w:line="360" w:lineRule="auto"/>
        <w:jc w:val="both"/>
        <w:rPr>
          <w:rFonts w:ascii="Times New Roman" w:hAnsi="Times New Roman" w:cs="Times New Roman"/>
          <w:bCs/>
          <w:sz w:val="24"/>
          <w:szCs w:val="24"/>
        </w:rPr>
      </w:pPr>
    </w:p>
    <w:p w:rsidR="0078227A" w:rsidRDefault="00822D4B" w:rsidP="00DB36F0">
      <w:pPr>
        <w:pStyle w:val="Prrafodelista"/>
        <w:numPr>
          <w:ilvl w:val="0"/>
          <w:numId w:val="1"/>
        </w:num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Conformación de las nubes tipológicas. Fue indispensable elaborar una lista de las combinaciones que se presentaron, así como de la frecuencia d</w:t>
      </w:r>
      <w:r w:rsidR="007F1D8A">
        <w:rPr>
          <w:rFonts w:ascii="Times New Roman" w:hAnsi="Times New Roman" w:cs="Times New Roman"/>
          <w:bCs/>
          <w:sz w:val="24"/>
          <w:szCs w:val="24"/>
        </w:rPr>
        <w:t>e cada una de ellas</w:t>
      </w:r>
      <w:r w:rsidR="00060A2D">
        <w:rPr>
          <w:rFonts w:ascii="Times New Roman" w:hAnsi="Times New Roman" w:cs="Times New Roman"/>
          <w:bCs/>
          <w:sz w:val="24"/>
          <w:szCs w:val="24"/>
        </w:rPr>
        <w:t xml:space="preserve"> (</w:t>
      </w:r>
      <w:r w:rsidR="00B315B3">
        <w:rPr>
          <w:rFonts w:ascii="Times New Roman" w:hAnsi="Times New Roman" w:cs="Times New Roman"/>
          <w:bCs/>
          <w:sz w:val="24"/>
          <w:szCs w:val="24"/>
        </w:rPr>
        <w:t>t</w:t>
      </w:r>
      <w:r w:rsidR="00060A2D">
        <w:rPr>
          <w:rFonts w:ascii="Times New Roman" w:hAnsi="Times New Roman" w:cs="Times New Roman"/>
          <w:bCs/>
          <w:sz w:val="24"/>
          <w:szCs w:val="24"/>
        </w:rPr>
        <w:t>abla 5)</w:t>
      </w:r>
      <w:r w:rsidRPr="00DB36F0">
        <w:rPr>
          <w:rFonts w:ascii="Times New Roman" w:hAnsi="Times New Roman" w:cs="Times New Roman"/>
          <w:bCs/>
          <w:sz w:val="24"/>
          <w:szCs w:val="24"/>
        </w:rPr>
        <w:t xml:space="preserve">. Eso permitió conocer todos los códigos que mostró la entidad, los más recurrentes fueron considerados núcleos a partir de los cuales se ligaron otros que indican la existencia de circunscripciones con comportamiento socioeconómico análogo. Se usó línea continua cuando los códigos se desviaron entre sí en el rango de un solo indicador. Las rayas segmentadas conectaron aquellos que no cumplieron con la condición anterior. En ese caso, fue esencial ponderar la afinidad que hay entre una determinada nube y el código que se anexa. </w:t>
      </w:r>
    </w:p>
    <w:p w:rsidR="00060A2D" w:rsidRPr="0008671D" w:rsidRDefault="00060A2D" w:rsidP="00060A2D">
      <w:pPr>
        <w:pStyle w:val="Prrafodelista"/>
        <w:spacing w:line="360" w:lineRule="auto"/>
        <w:jc w:val="center"/>
        <w:rPr>
          <w:rFonts w:ascii="Times New Roman" w:hAnsi="Times New Roman" w:cs="Times New Roman"/>
          <w:b/>
          <w:bCs/>
          <w:sz w:val="24"/>
          <w:szCs w:val="20"/>
        </w:rPr>
      </w:pPr>
      <w:r w:rsidRPr="0008671D">
        <w:rPr>
          <w:rFonts w:ascii="Times New Roman" w:hAnsi="Times New Roman" w:cs="Times New Roman"/>
          <w:b/>
          <w:bCs/>
          <w:sz w:val="24"/>
          <w:szCs w:val="20"/>
        </w:rPr>
        <w:lastRenderedPageBreak/>
        <w:t xml:space="preserve">Tabla 5. </w:t>
      </w:r>
      <w:r w:rsidRPr="0008671D">
        <w:rPr>
          <w:rFonts w:ascii="Times New Roman" w:hAnsi="Times New Roman" w:cs="Times New Roman"/>
          <w:bCs/>
          <w:sz w:val="24"/>
          <w:szCs w:val="20"/>
        </w:rPr>
        <w:t>Frecuencia de códigos</w:t>
      </w:r>
    </w:p>
    <w:tbl>
      <w:tblPr>
        <w:tblW w:w="0" w:type="auto"/>
        <w:jc w:val="center"/>
        <w:tblCellMar>
          <w:left w:w="70" w:type="dxa"/>
          <w:right w:w="70" w:type="dxa"/>
        </w:tblCellMar>
        <w:tblLook w:val="04A0" w:firstRow="1" w:lastRow="0" w:firstColumn="1" w:lastColumn="0" w:noHBand="0" w:noVBand="1"/>
      </w:tblPr>
      <w:tblGrid>
        <w:gridCol w:w="770"/>
        <w:gridCol w:w="591"/>
        <w:gridCol w:w="770"/>
        <w:gridCol w:w="591"/>
        <w:gridCol w:w="770"/>
        <w:gridCol w:w="591"/>
        <w:gridCol w:w="770"/>
        <w:gridCol w:w="591"/>
      </w:tblGrid>
      <w:tr w:rsidR="00060A2D" w:rsidRPr="00060A2D" w:rsidTr="00C1261E">
        <w:trPr>
          <w:trHeight w:val="300"/>
          <w:jc w:val="center"/>
        </w:trPr>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bookmarkStart w:id="1" w:name="RANGE!B4"/>
            <w:bookmarkStart w:id="2" w:name="_Hlk303243865" w:colFirst="1" w:colLast="7"/>
            <w:r w:rsidRPr="00C1261E">
              <w:rPr>
                <w:rFonts w:ascii="Times New Roman" w:eastAsia="Times New Roman" w:hAnsi="Times New Roman" w:cs="Times New Roman"/>
                <w:b/>
                <w:bCs/>
                <w:color w:val="D9D9D9" w:themeColor="background1" w:themeShade="D9"/>
                <w:sz w:val="16"/>
                <w:szCs w:val="16"/>
                <w:lang w:eastAsia="es-MX"/>
              </w:rPr>
              <w:t> </w:t>
            </w:r>
            <w:bookmarkEnd w:id="1"/>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6"/>
                <w:szCs w:val="16"/>
                <w:lang w:eastAsia="es-MX"/>
              </w:rPr>
            </w:pPr>
            <w:r w:rsidRPr="00C1261E">
              <w:rPr>
                <w:rFonts w:ascii="Times New Roman" w:eastAsia="Times New Roman" w:hAnsi="Times New Roman" w:cs="Times New Roman"/>
                <w:b/>
                <w:bCs/>
                <w:color w:val="D9D9D9" w:themeColor="background1" w:themeShade="D9"/>
                <w:sz w:val="16"/>
                <w:szCs w:val="16"/>
                <w:lang w:eastAsia="es-MX"/>
              </w:rPr>
              <w:t> </w:t>
            </w:r>
          </w:p>
        </w:tc>
      </w:tr>
      <w:tr w:rsidR="00060A2D" w:rsidRPr="00060A2D" w:rsidTr="00C1261E">
        <w:trPr>
          <w:trHeight w:val="300"/>
          <w:jc w:val="center"/>
        </w:trPr>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Código</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Casos</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Código</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Casos</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Código</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Casos</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Código</w:t>
            </w:r>
          </w:p>
        </w:tc>
        <w:tc>
          <w:tcPr>
            <w:tcW w:w="0" w:type="auto"/>
            <w:shd w:val="clear" w:color="auto" w:fill="404040" w:themeFill="text1" w:themeFillTint="BF"/>
            <w:hideMark/>
          </w:tcPr>
          <w:p w:rsidR="00060A2D" w:rsidRPr="00C1261E" w:rsidRDefault="00060A2D" w:rsidP="00060A2D">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Casos</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1 1 1 1 1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9</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2 1 1 1 1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2 3 5 2 3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3 2 3 2 2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1 1 1 1 2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2 1 1 1 2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8</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3 2 4 1 4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1 1 1 1 3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2 1 1 1 3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3 1 1 1 4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3 3 1 2 2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1 1 1 1 4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2 1 1 1 4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3 1 1 1 5</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3 3 1 3 1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1 1 2 1 2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2 1 1 2 1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3 1 1 2 2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3 3 2 5 1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1 1 2 1 3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2 1 2 1 2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3 1 1 2 3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3 4 1 3 1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1 1 3 1 1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2 1 3 1 2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3 1 1 2 5</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4 2 1 2 4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1 1 4 1 2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2 1 3 1 4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3 1 2 1 3</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4 3 1 4 4</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1 1 5 1 1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2 2 1 1 2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3 1 2 3 2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4 5 1 4 1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1 2 4 1 1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2 2 3 2 2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3 1 3 1 2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5 5 2 4 2</w:t>
            </w:r>
          </w:p>
        </w:tc>
        <w:tc>
          <w:tcPr>
            <w:tcW w:w="0" w:type="auto"/>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060A2D" w:rsidRPr="00060A2D" w:rsidTr="00C1261E">
        <w:trPr>
          <w:trHeight w:val="315"/>
          <w:jc w:val="center"/>
        </w:trPr>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1 2 5 2 2</w:t>
            </w:r>
          </w:p>
        </w:tc>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2 3 1 3 1</w:t>
            </w:r>
          </w:p>
        </w:tc>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3 1 4 2 1</w:t>
            </w:r>
          </w:p>
        </w:tc>
        <w:tc>
          <w:tcPr>
            <w:tcW w:w="0" w:type="auto"/>
            <w:tcBorders>
              <w:bottom w:val="single" w:sz="4" w:space="0" w:color="auto"/>
            </w:tcBorders>
            <w:shd w:val="clear" w:color="auto" w:fill="auto"/>
            <w:hideMark/>
          </w:tcPr>
          <w:p w:rsidR="00060A2D" w:rsidRPr="0014537D" w:rsidRDefault="00060A2D" w:rsidP="00060A2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0" w:type="auto"/>
            <w:gridSpan w:val="2"/>
            <w:tcBorders>
              <w:bottom w:val="single" w:sz="4" w:space="0" w:color="auto"/>
            </w:tcBorders>
            <w:shd w:val="clear" w:color="auto" w:fill="auto"/>
            <w:hideMark/>
          </w:tcPr>
          <w:p w:rsidR="00060A2D" w:rsidRPr="00060A2D" w:rsidRDefault="00060A2D" w:rsidP="00060A2D">
            <w:pPr>
              <w:spacing w:after="0" w:line="240" w:lineRule="auto"/>
              <w:jc w:val="center"/>
              <w:rPr>
                <w:rFonts w:ascii="Times New Roman" w:eastAsia="Times New Roman" w:hAnsi="Times New Roman" w:cs="Times New Roman"/>
                <w:color w:val="000000"/>
                <w:sz w:val="20"/>
                <w:szCs w:val="20"/>
                <w:vertAlign w:val="subscript"/>
                <w:lang w:eastAsia="es-MX"/>
              </w:rPr>
            </w:pPr>
          </w:p>
        </w:tc>
      </w:tr>
    </w:tbl>
    <w:bookmarkEnd w:id="2"/>
    <w:p w:rsidR="00060A2D" w:rsidRPr="0008671D" w:rsidRDefault="0008671D" w:rsidP="00060A2D">
      <w:pPr>
        <w:pStyle w:val="Prrafodelista"/>
        <w:spacing w:line="360" w:lineRule="auto"/>
        <w:jc w:val="center"/>
        <w:rPr>
          <w:rFonts w:ascii="Times New Roman" w:hAnsi="Times New Roman" w:cs="Times New Roman"/>
          <w:b/>
          <w:bCs/>
          <w:sz w:val="28"/>
          <w:szCs w:val="20"/>
        </w:rPr>
      </w:pPr>
      <w:r w:rsidRPr="0008671D">
        <w:rPr>
          <w:rFonts w:ascii="Times New Roman" w:hAnsi="Times New Roman" w:cs="Times New Roman"/>
          <w:bCs/>
          <w:sz w:val="24"/>
          <w:szCs w:val="18"/>
        </w:rPr>
        <w:t>Fuente: elaborado con base en el comportamiento de los indicadores ponderados</w:t>
      </w:r>
    </w:p>
    <w:p w:rsidR="000335F8" w:rsidRPr="00060A2D" w:rsidRDefault="000335F8" w:rsidP="00060A2D">
      <w:pPr>
        <w:pStyle w:val="Prrafodelista"/>
        <w:spacing w:line="360" w:lineRule="auto"/>
        <w:jc w:val="center"/>
        <w:rPr>
          <w:rFonts w:ascii="Times New Roman" w:hAnsi="Times New Roman" w:cs="Times New Roman"/>
          <w:b/>
          <w:bCs/>
          <w:sz w:val="20"/>
          <w:szCs w:val="20"/>
        </w:rPr>
      </w:pPr>
    </w:p>
    <w:p w:rsidR="00060A2D" w:rsidRDefault="00822D4B" w:rsidP="0078227A">
      <w:pPr>
        <w:pStyle w:val="Prrafodelista"/>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Posteriormente, fue necesario establecer el nivel de asimilación económica que refiere cada grupo de códigos conformado. Éstos se jerarquizaron con base en el comportamiento de los coeficientes de correlación exhibidos entre los cinco indicadores socioeconómicos. Los que ostentan una reciprocidad alta se tomaron en cuenta para decidir qué lugar ocuparía una det</w:t>
      </w:r>
      <w:r w:rsidR="007F1D8A">
        <w:rPr>
          <w:rFonts w:ascii="Times New Roman" w:hAnsi="Times New Roman" w:cs="Times New Roman"/>
          <w:bCs/>
          <w:sz w:val="24"/>
          <w:szCs w:val="24"/>
        </w:rPr>
        <w:t>erminada nube tipológica (Propin, 2003)</w:t>
      </w:r>
      <w:r w:rsidRPr="00DB36F0">
        <w:rPr>
          <w:rFonts w:ascii="Times New Roman" w:hAnsi="Times New Roman" w:cs="Times New Roman"/>
          <w:bCs/>
          <w:sz w:val="24"/>
          <w:szCs w:val="24"/>
        </w:rPr>
        <w:t>. En esta ocasión hubo valores significativos entre la concentración espacial de la producción industrial y el grado de urbanización, así como entre la primera y la de</w:t>
      </w:r>
      <w:r w:rsidR="007F1D8A">
        <w:rPr>
          <w:rFonts w:ascii="Times New Roman" w:hAnsi="Times New Roman" w:cs="Times New Roman"/>
          <w:bCs/>
          <w:sz w:val="24"/>
          <w:szCs w:val="24"/>
        </w:rPr>
        <w:t>nsidad de población</w:t>
      </w:r>
      <w:r w:rsidR="00060A2D">
        <w:rPr>
          <w:rFonts w:ascii="Times New Roman" w:hAnsi="Times New Roman" w:cs="Times New Roman"/>
          <w:bCs/>
          <w:sz w:val="24"/>
          <w:szCs w:val="24"/>
        </w:rPr>
        <w:t xml:space="preserve"> (</w:t>
      </w:r>
      <w:r w:rsidR="00B315B3">
        <w:rPr>
          <w:rFonts w:ascii="Times New Roman" w:hAnsi="Times New Roman" w:cs="Times New Roman"/>
          <w:bCs/>
          <w:sz w:val="24"/>
          <w:szCs w:val="24"/>
        </w:rPr>
        <w:t>t</w:t>
      </w:r>
      <w:r w:rsidR="00060A2D">
        <w:rPr>
          <w:rFonts w:ascii="Times New Roman" w:hAnsi="Times New Roman" w:cs="Times New Roman"/>
          <w:bCs/>
          <w:sz w:val="24"/>
          <w:szCs w:val="24"/>
        </w:rPr>
        <w:t>abla 6)</w:t>
      </w:r>
      <w:r w:rsidRPr="00DB36F0">
        <w:rPr>
          <w:rFonts w:ascii="Times New Roman" w:hAnsi="Times New Roman" w:cs="Times New Roman"/>
          <w:bCs/>
          <w:sz w:val="24"/>
          <w:szCs w:val="24"/>
        </w:rPr>
        <w:t>. A través del procedimiento referido se revelaron los grupos de municipios con cualidades básicas similares que integran lo</w:t>
      </w:r>
      <w:r w:rsidR="007F1D8A">
        <w:rPr>
          <w:rFonts w:ascii="Times New Roman" w:hAnsi="Times New Roman" w:cs="Times New Roman"/>
          <w:bCs/>
          <w:sz w:val="24"/>
          <w:szCs w:val="24"/>
        </w:rPr>
        <w:t>s distintos niveles</w:t>
      </w:r>
      <w:r w:rsidR="00060A2D">
        <w:rPr>
          <w:rFonts w:ascii="Times New Roman" w:hAnsi="Times New Roman" w:cs="Times New Roman"/>
          <w:bCs/>
          <w:sz w:val="24"/>
          <w:szCs w:val="24"/>
        </w:rPr>
        <w:t xml:space="preserve"> (</w:t>
      </w:r>
      <w:r w:rsidR="00B315B3">
        <w:rPr>
          <w:rFonts w:ascii="Times New Roman" w:hAnsi="Times New Roman" w:cs="Times New Roman"/>
          <w:bCs/>
          <w:sz w:val="24"/>
          <w:szCs w:val="24"/>
        </w:rPr>
        <w:t>f</w:t>
      </w:r>
      <w:r w:rsidR="00060A2D">
        <w:rPr>
          <w:rFonts w:ascii="Times New Roman" w:hAnsi="Times New Roman" w:cs="Times New Roman"/>
          <w:bCs/>
          <w:sz w:val="24"/>
          <w:szCs w:val="24"/>
        </w:rPr>
        <w:t>igura 2)</w:t>
      </w:r>
      <w:r w:rsidRPr="00DB36F0">
        <w:rPr>
          <w:rFonts w:ascii="Times New Roman" w:hAnsi="Times New Roman" w:cs="Times New Roman"/>
          <w:bCs/>
          <w:sz w:val="24"/>
          <w:szCs w:val="24"/>
        </w:rPr>
        <w:t>.</w:t>
      </w:r>
    </w:p>
    <w:p w:rsidR="0014537D" w:rsidRDefault="0014537D" w:rsidP="0078227A">
      <w:pPr>
        <w:pStyle w:val="Prrafodelista"/>
        <w:spacing w:line="360" w:lineRule="auto"/>
        <w:jc w:val="both"/>
        <w:rPr>
          <w:rFonts w:ascii="Times New Roman" w:hAnsi="Times New Roman" w:cs="Times New Roman"/>
          <w:bCs/>
          <w:sz w:val="24"/>
          <w:szCs w:val="24"/>
        </w:rPr>
      </w:pPr>
    </w:p>
    <w:p w:rsidR="00822D4B" w:rsidRPr="0008671D" w:rsidRDefault="00060A2D" w:rsidP="00060A2D">
      <w:pPr>
        <w:pStyle w:val="Prrafodelista"/>
        <w:spacing w:line="360" w:lineRule="auto"/>
        <w:jc w:val="center"/>
        <w:rPr>
          <w:rFonts w:ascii="Times New Roman" w:hAnsi="Times New Roman" w:cs="Times New Roman"/>
          <w:b/>
          <w:bCs/>
          <w:sz w:val="24"/>
          <w:szCs w:val="20"/>
        </w:rPr>
      </w:pPr>
      <w:r w:rsidRPr="0008671D">
        <w:rPr>
          <w:rFonts w:ascii="Times New Roman" w:hAnsi="Times New Roman" w:cs="Times New Roman"/>
          <w:b/>
          <w:bCs/>
          <w:sz w:val="24"/>
          <w:szCs w:val="20"/>
        </w:rPr>
        <w:t xml:space="preserve">Tabla 6. </w:t>
      </w:r>
      <w:r w:rsidRPr="0008671D">
        <w:rPr>
          <w:rFonts w:ascii="Times New Roman" w:hAnsi="Times New Roman" w:cs="Times New Roman"/>
          <w:bCs/>
          <w:sz w:val="24"/>
          <w:szCs w:val="20"/>
        </w:rPr>
        <w:t>Coeficientes de correlación entre indicadores</w:t>
      </w:r>
    </w:p>
    <w:tbl>
      <w:tblPr>
        <w:tblStyle w:val="Tablaconcuadrcula"/>
        <w:tblW w:w="0" w:type="auto"/>
        <w:jc w:val="center"/>
        <w:tblLook w:val="04A0" w:firstRow="1" w:lastRow="0" w:firstColumn="1" w:lastColumn="0" w:noHBand="0" w:noVBand="1"/>
      </w:tblPr>
      <w:tblGrid>
        <w:gridCol w:w="1127"/>
        <w:gridCol w:w="1161"/>
        <w:gridCol w:w="1161"/>
        <w:gridCol w:w="1221"/>
        <w:gridCol w:w="1221"/>
        <w:gridCol w:w="476"/>
      </w:tblGrid>
      <w:tr w:rsidR="00060A2D" w:rsidRPr="0014537D" w:rsidTr="00C1261E">
        <w:trPr>
          <w:gridAfter w:val="4"/>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Indicadores</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DP</w:t>
            </w:r>
          </w:p>
        </w:tc>
      </w:tr>
      <w:tr w:rsidR="00060A2D" w:rsidRPr="0014537D" w:rsidTr="00C1261E">
        <w:trPr>
          <w:gridAfter w:val="3"/>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DP</w:t>
            </w:r>
          </w:p>
        </w:tc>
        <w:tc>
          <w:tcPr>
            <w:tcW w:w="0" w:type="auto"/>
            <w:tcBorders>
              <w:top w:val="single" w:sz="4" w:space="0" w:color="auto"/>
              <w:left w:val="single" w:sz="4" w:space="0" w:color="auto"/>
              <w:righ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14537D" w:rsidRDefault="00060A2D" w:rsidP="00060A2D">
            <w:pPr>
              <w:jc w:val="center"/>
              <w:rPr>
                <w:rFonts w:ascii="Times New Roman" w:hAnsi="Times New Roman" w:cs="Times New Roman"/>
                <w:b/>
                <w:sz w:val="18"/>
                <w:szCs w:val="18"/>
              </w:rPr>
            </w:pPr>
            <w:r w:rsidRPr="00C1261E">
              <w:rPr>
                <w:rFonts w:ascii="Times New Roman" w:hAnsi="Times New Roman" w:cs="Times New Roman"/>
                <w:b/>
                <w:color w:val="D9D9D9" w:themeColor="background1" w:themeShade="D9"/>
                <w:sz w:val="18"/>
                <w:szCs w:val="18"/>
              </w:rPr>
              <w:t>GU</w:t>
            </w:r>
          </w:p>
        </w:tc>
      </w:tr>
      <w:tr w:rsidR="00060A2D" w:rsidRPr="0014537D" w:rsidTr="00C1261E">
        <w:trPr>
          <w:gridAfter w:val="2"/>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GU</w:t>
            </w:r>
          </w:p>
        </w:tc>
        <w:tc>
          <w:tcPr>
            <w:tcW w:w="0" w:type="auto"/>
            <w:tcBorders>
              <w:lef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0.541530165</w:t>
            </w:r>
          </w:p>
        </w:tc>
        <w:tc>
          <w:tcPr>
            <w:tcW w:w="0" w:type="auto"/>
            <w:tcBorders>
              <w:top w:val="single" w:sz="4" w:space="0" w:color="auto"/>
              <w:righ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14537D" w:rsidRDefault="00060A2D" w:rsidP="00060A2D">
            <w:pPr>
              <w:jc w:val="center"/>
              <w:rPr>
                <w:rFonts w:ascii="Times New Roman" w:hAnsi="Times New Roman" w:cs="Times New Roman"/>
                <w:b/>
                <w:sz w:val="18"/>
                <w:szCs w:val="18"/>
              </w:rPr>
            </w:pPr>
            <w:r w:rsidRPr="00C1261E">
              <w:rPr>
                <w:rFonts w:ascii="Times New Roman" w:hAnsi="Times New Roman" w:cs="Times New Roman"/>
                <w:b/>
                <w:color w:val="D9D9D9" w:themeColor="background1" w:themeShade="D9"/>
                <w:sz w:val="18"/>
                <w:szCs w:val="18"/>
              </w:rPr>
              <w:t>CTA</w:t>
            </w:r>
          </w:p>
        </w:tc>
      </w:tr>
      <w:tr w:rsidR="00060A2D" w:rsidRPr="0014537D" w:rsidTr="00C1261E">
        <w:trPr>
          <w:gridAfter w:val="1"/>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CTA</w:t>
            </w:r>
          </w:p>
        </w:tc>
        <w:tc>
          <w:tcPr>
            <w:tcW w:w="0" w:type="auto"/>
            <w:tcBorders>
              <w:lef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-0.05735876</w:t>
            </w:r>
          </w:p>
        </w:tc>
        <w:tc>
          <w:tcPr>
            <w:tcW w:w="0" w:type="auto"/>
          </w:tcPr>
          <w:p w:rsidR="00060A2D" w:rsidRPr="0014537D" w:rsidRDefault="00060A2D" w:rsidP="00060A2D">
            <w:pPr>
              <w:rPr>
                <w:rFonts w:ascii="Times New Roman" w:hAnsi="Times New Roman" w:cs="Times New Roman"/>
                <w:sz w:val="18"/>
                <w:szCs w:val="18"/>
              </w:rPr>
            </w:pPr>
            <w:r w:rsidRPr="0014537D">
              <w:rPr>
                <w:rFonts w:ascii="Times New Roman" w:hAnsi="Times New Roman" w:cs="Times New Roman"/>
                <w:sz w:val="18"/>
                <w:szCs w:val="18"/>
              </w:rPr>
              <w:t>0.103817078</w:t>
            </w:r>
          </w:p>
        </w:tc>
        <w:tc>
          <w:tcPr>
            <w:tcW w:w="0" w:type="auto"/>
            <w:tcBorders>
              <w:top w:val="single" w:sz="4" w:space="0" w:color="auto"/>
              <w:righ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14537D" w:rsidRDefault="00060A2D" w:rsidP="00060A2D">
            <w:pPr>
              <w:jc w:val="center"/>
              <w:rPr>
                <w:rFonts w:ascii="Times New Roman" w:hAnsi="Times New Roman" w:cs="Times New Roman"/>
                <w:b/>
                <w:sz w:val="18"/>
                <w:szCs w:val="18"/>
              </w:rPr>
            </w:pPr>
            <w:r w:rsidRPr="00C1261E">
              <w:rPr>
                <w:rFonts w:ascii="Times New Roman" w:hAnsi="Times New Roman" w:cs="Times New Roman"/>
                <w:b/>
                <w:color w:val="D9D9D9" w:themeColor="background1" w:themeShade="D9"/>
                <w:sz w:val="18"/>
                <w:szCs w:val="18"/>
              </w:rPr>
              <w:t>CPI</w:t>
            </w:r>
          </w:p>
        </w:tc>
      </w:tr>
      <w:tr w:rsidR="00060A2D" w:rsidRPr="00060A2D" w:rsidTr="00C1261E">
        <w:trP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CPI</w:t>
            </w:r>
          </w:p>
        </w:tc>
        <w:tc>
          <w:tcPr>
            <w:tcW w:w="0" w:type="auto"/>
            <w:tcBorders>
              <w:left w:val="single" w:sz="4" w:space="0" w:color="auto"/>
            </w:tcBorders>
          </w:tcPr>
          <w:p w:rsidR="00060A2D" w:rsidRPr="0014537D" w:rsidRDefault="00060A2D" w:rsidP="00060A2D">
            <w:pPr>
              <w:jc w:val="center"/>
              <w:rPr>
                <w:rFonts w:ascii="Times New Roman" w:hAnsi="Times New Roman" w:cs="Times New Roman"/>
                <w:i/>
                <w:sz w:val="18"/>
                <w:szCs w:val="18"/>
              </w:rPr>
            </w:pPr>
            <w:r w:rsidRPr="0014537D">
              <w:rPr>
                <w:rFonts w:ascii="Times New Roman" w:hAnsi="Times New Roman" w:cs="Times New Roman"/>
                <w:i/>
                <w:sz w:val="18"/>
                <w:szCs w:val="18"/>
              </w:rPr>
              <w:t>0.620795781</w:t>
            </w:r>
          </w:p>
        </w:tc>
        <w:tc>
          <w:tcPr>
            <w:tcW w:w="0" w:type="auto"/>
          </w:tcPr>
          <w:p w:rsidR="00060A2D" w:rsidRPr="0014537D" w:rsidRDefault="00060A2D" w:rsidP="00060A2D">
            <w:pPr>
              <w:jc w:val="center"/>
              <w:rPr>
                <w:rFonts w:ascii="Times New Roman" w:hAnsi="Times New Roman" w:cs="Times New Roman"/>
                <w:b/>
                <w:sz w:val="18"/>
                <w:szCs w:val="18"/>
              </w:rPr>
            </w:pPr>
            <w:r w:rsidRPr="0014537D">
              <w:rPr>
                <w:rFonts w:ascii="Times New Roman" w:hAnsi="Times New Roman" w:cs="Times New Roman"/>
                <w:b/>
                <w:sz w:val="18"/>
                <w:szCs w:val="18"/>
              </w:rPr>
              <w:t>0.805706316</w:t>
            </w:r>
          </w:p>
        </w:tc>
        <w:tc>
          <w:tcPr>
            <w:tcW w:w="0" w:type="auto"/>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0.049274499</w:t>
            </w:r>
          </w:p>
        </w:tc>
        <w:tc>
          <w:tcPr>
            <w:tcW w:w="0" w:type="auto"/>
            <w:tcBorders>
              <w:top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w:t>
            </w:r>
          </w:p>
        </w:tc>
        <w:tc>
          <w:tcPr>
            <w:tcW w:w="0" w:type="auto"/>
            <w:shd w:val="clear" w:color="auto" w:fill="404040" w:themeFill="text1" w:themeFillTint="BF"/>
          </w:tcPr>
          <w:p w:rsidR="00060A2D" w:rsidRPr="0014537D" w:rsidRDefault="00060A2D" w:rsidP="00060A2D">
            <w:pPr>
              <w:jc w:val="center"/>
              <w:rPr>
                <w:rFonts w:ascii="Times New Roman" w:hAnsi="Times New Roman" w:cs="Times New Roman"/>
                <w:b/>
                <w:sz w:val="18"/>
                <w:szCs w:val="18"/>
              </w:rPr>
            </w:pPr>
            <w:r w:rsidRPr="00C1261E">
              <w:rPr>
                <w:rFonts w:ascii="Times New Roman" w:hAnsi="Times New Roman" w:cs="Times New Roman"/>
                <w:b/>
                <w:color w:val="D9D9D9" w:themeColor="background1" w:themeShade="D9"/>
                <w:sz w:val="18"/>
                <w:szCs w:val="18"/>
              </w:rPr>
              <w:t>CV</w:t>
            </w:r>
          </w:p>
        </w:tc>
      </w:tr>
      <w:tr w:rsidR="00060A2D" w:rsidRPr="00060A2D" w:rsidTr="00C1261E">
        <w:trP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tcPr>
          <w:p w:rsidR="00060A2D" w:rsidRPr="00C1261E" w:rsidRDefault="00060A2D" w:rsidP="00060A2D">
            <w:pPr>
              <w:jc w:val="center"/>
              <w:rPr>
                <w:rFonts w:ascii="Times New Roman" w:hAnsi="Times New Roman" w:cs="Times New Roman"/>
                <w:b/>
                <w:color w:val="D9D9D9" w:themeColor="background1" w:themeShade="D9"/>
                <w:sz w:val="18"/>
                <w:szCs w:val="18"/>
              </w:rPr>
            </w:pPr>
            <w:r w:rsidRPr="00C1261E">
              <w:rPr>
                <w:rFonts w:ascii="Times New Roman" w:hAnsi="Times New Roman" w:cs="Times New Roman"/>
                <w:b/>
                <w:color w:val="D9D9D9" w:themeColor="background1" w:themeShade="D9"/>
                <w:sz w:val="18"/>
                <w:szCs w:val="18"/>
              </w:rPr>
              <w:t>CV</w:t>
            </w:r>
          </w:p>
        </w:tc>
        <w:tc>
          <w:tcPr>
            <w:tcW w:w="0" w:type="auto"/>
            <w:tcBorders>
              <w:left w:val="single" w:sz="4" w:space="0" w:color="auto"/>
            </w:tcBorders>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0.304215233</w:t>
            </w:r>
          </w:p>
        </w:tc>
        <w:tc>
          <w:tcPr>
            <w:tcW w:w="0" w:type="auto"/>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-0.13816334</w:t>
            </w:r>
          </w:p>
        </w:tc>
        <w:tc>
          <w:tcPr>
            <w:tcW w:w="0" w:type="auto"/>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-0.036182488</w:t>
            </w:r>
          </w:p>
        </w:tc>
        <w:tc>
          <w:tcPr>
            <w:tcW w:w="0" w:type="auto"/>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-0.089078686</w:t>
            </w:r>
          </w:p>
        </w:tc>
        <w:tc>
          <w:tcPr>
            <w:tcW w:w="0" w:type="auto"/>
          </w:tcPr>
          <w:p w:rsidR="00060A2D" w:rsidRPr="0014537D" w:rsidRDefault="00060A2D" w:rsidP="00060A2D">
            <w:pPr>
              <w:jc w:val="center"/>
              <w:rPr>
                <w:rFonts w:ascii="Times New Roman" w:hAnsi="Times New Roman" w:cs="Times New Roman"/>
                <w:sz w:val="18"/>
                <w:szCs w:val="18"/>
              </w:rPr>
            </w:pPr>
            <w:r w:rsidRPr="0014537D">
              <w:rPr>
                <w:rFonts w:ascii="Times New Roman" w:hAnsi="Times New Roman" w:cs="Times New Roman"/>
                <w:sz w:val="18"/>
                <w:szCs w:val="18"/>
              </w:rPr>
              <w:t>-</w:t>
            </w:r>
          </w:p>
        </w:tc>
      </w:tr>
    </w:tbl>
    <w:p w:rsidR="0008671D" w:rsidRPr="0008671D" w:rsidRDefault="0008671D" w:rsidP="0008671D">
      <w:pPr>
        <w:jc w:val="center"/>
        <w:rPr>
          <w:sz w:val="32"/>
        </w:rPr>
      </w:pPr>
      <w:r w:rsidRPr="0008671D">
        <w:rPr>
          <w:rFonts w:ascii="Times New Roman" w:hAnsi="Times New Roman" w:cs="Times New Roman"/>
          <w:bCs/>
          <w:sz w:val="24"/>
          <w:szCs w:val="18"/>
        </w:rPr>
        <w:t>Fuente: elaborado con base en el comportamiento de los indicadores ponderados.</w:t>
      </w:r>
    </w:p>
    <w:p w:rsidR="00060A2D" w:rsidRDefault="00060A2D" w:rsidP="00060A2D">
      <w:pPr>
        <w:pStyle w:val="Prrafodelista"/>
        <w:spacing w:line="360" w:lineRule="auto"/>
        <w:jc w:val="center"/>
        <w:rPr>
          <w:rFonts w:ascii="Times New Roman" w:hAnsi="Times New Roman" w:cs="Times New Roman"/>
          <w:b/>
          <w:bCs/>
          <w:sz w:val="20"/>
          <w:szCs w:val="20"/>
        </w:rPr>
      </w:pPr>
    </w:p>
    <w:p w:rsidR="000335F8" w:rsidRDefault="000335F8" w:rsidP="00060A2D">
      <w:pPr>
        <w:pStyle w:val="Prrafodelista"/>
        <w:spacing w:line="360" w:lineRule="auto"/>
        <w:jc w:val="center"/>
        <w:rPr>
          <w:rFonts w:ascii="Times New Roman" w:hAnsi="Times New Roman" w:cs="Times New Roman"/>
          <w:b/>
          <w:bCs/>
          <w:sz w:val="20"/>
          <w:szCs w:val="20"/>
        </w:rPr>
      </w:pPr>
    </w:p>
    <w:p w:rsidR="00A81185" w:rsidRDefault="00A81185" w:rsidP="00060A2D">
      <w:pPr>
        <w:pStyle w:val="Prrafodelista"/>
        <w:spacing w:line="360" w:lineRule="auto"/>
        <w:jc w:val="center"/>
        <w:rPr>
          <w:rFonts w:ascii="Times New Roman" w:hAnsi="Times New Roman" w:cs="Times New Roman"/>
          <w:b/>
          <w:bCs/>
          <w:sz w:val="20"/>
          <w:szCs w:val="20"/>
        </w:rPr>
      </w:pPr>
    </w:p>
    <w:p w:rsidR="00060A2D" w:rsidRPr="0008671D" w:rsidRDefault="00060A2D" w:rsidP="00060A2D">
      <w:pPr>
        <w:pStyle w:val="Prrafodelista"/>
        <w:spacing w:line="360" w:lineRule="auto"/>
        <w:jc w:val="center"/>
        <w:rPr>
          <w:rFonts w:ascii="Times New Roman" w:hAnsi="Times New Roman" w:cs="Times New Roman"/>
          <w:b/>
          <w:bCs/>
          <w:sz w:val="24"/>
          <w:szCs w:val="20"/>
        </w:rPr>
      </w:pPr>
      <w:r w:rsidRPr="0008671D">
        <w:rPr>
          <w:rFonts w:ascii="Times New Roman" w:hAnsi="Times New Roman" w:cs="Times New Roman"/>
          <w:b/>
          <w:bCs/>
          <w:sz w:val="24"/>
          <w:szCs w:val="20"/>
        </w:rPr>
        <w:lastRenderedPageBreak/>
        <w:t xml:space="preserve">Figura 2. </w:t>
      </w:r>
      <w:r w:rsidRPr="0008671D">
        <w:rPr>
          <w:rFonts w:ascii="Times New Roman" w:hAnsi="Times New Roman" w:cs="Times New Roman"/>
          <w:bCs/>
          <w:sz w:val="24"/>
          <w:szCs w:val="20"/>
        </w:rPr>
        <w:t>Agrupación de los códigos en nubes tipológicas</w:t>
      </w:r>
    </w:p>
    <w:p w:rsidR="00060A2D" w:rsidRDefault="00060A2D" w:rsidP="00060A2D">
      <w:pPr>
        <w:pStyle w:val="Prrafodelista"/>
        <w:spacing w:line="360" w:lineRule="auto"/>
        <w:jc w:val="center"/>
        <w:rPr>
          <w:rFonts w:ascii="Times New Roman" w:hAnsi="Times New Roman" w:cs="Times New Roman"/>
          <w:b/>
          <w:bCs/>
          <w:sz w:val="20"/>
          <w:szCs w:val="20"/>
        </w:rPr>
      </w:pPr>
    </w:p>
    <w:p w:rsidR="00060A2D" w:rsidRDefault="00060A2D" w:rsidP="003E7EA7">
      <w:pPr>
        <w:pStyle w:val="Prrafodelista"/>
        <w:spacing w:line="360" w:lineRule="auto"/>
        <w:jc w:val="center"/>
        <w:rPr>
          <w:rFonts w:ascii="Times New Roman" w:hAnsi="Times New Roman" w:cs="Times New Roman"/>
          <w:b/>
          <w:bCs/>
          <w:sz w:val="20"/>
          <w:szCs w:val="20"/>
        </w:rPr>
      </w:pPr>
      <w:r w:rsidRPr="00773E55">
        <w:rPr>
          <w:noProof/>
          <w:lang w:eastAsia="es-MX"/>
        </w:rPr>
        <w:drawing>
          <wp:inline distT="0" distB="0" distL="0" distR="0" wp14:anchorId="1A96033D" wp14:editId="080708A4">
            <wp:extent cx="3696789" cy="3486015"/>
            <wp:effectExtent l="0" t="0" r="0" b="635"/>
            <wp:docPr id="3"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3702705" cy="3491594"/>
                    </a:xfrm>
                    <a:prstGeom prst="rect">
                      <a:avLst/>
                    </a:prstGeom>
                    <a:noFill/>
                    <a:ln w="9525">
                      <a:noFill/>
                      <a:miter lim="800000"/>
                      <a:headEnd/>
                      <a:tailEnd/>
                    </a:ln>
                  </pic:spPr>
                </pic:pic>
              </a:graphicData>
            </a:graphic>
          </wp:inline>
        </w:drawing>
      </w:r>
    </w:p>
    <w:p w:rsidR="00C1261E" w:rsidRDefault="00C1261E" w:rsidP="003E7EA7">
      <w:pPr>
        <w:pStyle w:val="Prrafodelista"/>
        <w:spacing w:line="360" w:lineRule="auto"/>
        <w:jc w:val="center"/>
        <w:rPr>
          <w:rFonts w:ascii="Times New Roman" w:hAnsi="Times New Roman" w:cs="Times New Roman"/>
          <w:b/>
          <w:bCs/>
          <w:sz w:val="20"/>
          <w:szCs w:val="20"/>
        </w:rPr>
      </w:pPr>
    </w:p>
    <w:p w:rsidR="0008671D" w:rsidRDefault="0008671D" w:rsidP="0008671D">
      <w:pPr>
        <w:jc w:val="center"/>
      </w:pPr>
      <w:r w:rsidRPr="0008671D">
        <w:rPr>
          <w:rFonts w:ascii="Times New Roman" w:hAnsi="Times New Roman" w:cs="Times New Roman"/>
          <w:bCs/>
          <w:sz w:val="24"/>
          <w:szCs w:val="18"/>
        </w:rPr>
        <w:t>Fuente: elaborado con base en el comportamiento de los indicadores ponderados</w:t>
      </w:r>
      <w:r>
        <w:rPr>
          <w:rFonts w:ascii="Times New Roman" w:hAnsi="Times New Roman" w:cs="Times New Roman"/>
          <w:bCs/>
          <w:sz w:val="18"/>
          <w:szCs w:val="18"/>
        </w:rPr>
        <w:t>.</w:t>
      </w:r>
    </w:p>
    <w:p w:rsidR="00C1261E" w:rsidRPr="003E7EA7" w:rsidRDefault="00C1261E" w:rsidP="003E7EA7">
      <w:pPr>
        <w:pStyle w:val="Prrafodelista"/>
        <w:spacing w:line="360" w:lineRule="auto"/>
        <w:jc w:val="center"/>
        <w:rPr>
          <w:rFonts w:ascii="Times New Roman" w:hAnsi="Times New Roman" w:cs="Times New Roman"/>
          <w:b/>
          <w:bCs/>
          <w:sz w:val="20"/>
          <w:szCs w:val="20"/>
        </w:rPr>
      </w:pPr>
    </w:p>
    <w:p w:rsidR="00822D4B" w:rsidRPr="00DB36F0" w:rsidRDefault="00822D4B" w:rsidP="00DB36F0">
      <w:pPr>
        <w:pStyle w:val="Prrafodelista"/>
        <w:numPr>
          <w:ilvl w:val="0"/>
          <w:numId w:val="1"/>
        </w:num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Revelación de la tipología. Cada nube conformada se codificó mediante una nomenclatura que tomó en cuenta el número de ocasiones en las que se presentó el rango correspondiente a cada indic</w:t>
      </w:r>
      <w:r w:rsidR="007F1D8A">
        <w:rPr>
          <w:rFonts w:ascii="Times New Roman" w:hAnsi="Times New Roman" w:cs="Times New Roman"/>
          <w:bCs/>
          <w:sz w:val="24"/>
          <w:szCs w:val="24"/>
        </w:rPr>
        <w:t>ador socioeconómico</w:t>
      </w:r>
      <w:r w:rsidR="003E7EA7">
        <w:rPr>
          <w:rFonts w:ascii="Times New Roman" w:hAnsi="Times New Roman" w:cs="Times New Roman"/>
          <w:bCs/>
          <w:sz w:val="24"/>
          <w:szCs w:val="24"/>
        </w:rPr>
        <w:t xml:space="preserve"> (</w:t>
      </w:r>
      <w:r w:rsidR="00B315B3">
        <w:rPr>
          <w:rFonts w:ascii="Times New Roman" w:hAnsi="Times New Roman" w:cs="Times New Roman"/>
          <w:bCs/>
          <w:sz w:val="24"/>
          <w:szCs w:val="24"/>
        </w:rPr>
        <w:t>t</w:t>
      </w:r>
      <w:r w:rsidR="003E7EA7">
        <w:rPr>
          <w:rFonts w:ascii="Times New Roman" w:hAnsi="Times New Roman" w:cs="Times New Roman"/>
          <w:bCs/>
          <w:sz w:val="24"/>
          <w:szCs w:val="24"/>
        </w:rPr>
        <w:t>abla 7)</w:t>
      </w:r>
      <w:r w:rsidRPr="00DB36F0">
        <w:rPr>
          <w:rFonts w:ascii="Times New Roman" w:hAnsi="Times New Roman" w:cs="Times New Roman"/>
          <w:bCs/>
          <w:sz w:val="24"/>
          <w:szCs w:val="24"/>
        </w:rPr>
        <w:t>. Las variaciones de éste se expresaron de las cuatro formas ejemplificadas a continuación (Propin, 2003).</w:t>
      </w:r>
    </w:p>
    <w:p w:rsidR="00822D4B" w:rsidRPr="00DB36F0" w:rsidRDefault="00822D4B" w:rsidP="00A81185">
      <w:pPr>
        <w:pStyle w:val="Prrafodelista"/>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1: Señaló la existencia de valores muy bajos en más de 90</w:t>
      </w:r>
      <w:r w:rsidR="00B315B3">
        <w:rPr>
          <w:rFonts w:ascii="Times New Roman" w:hAnsi="Times New Roman" w:cs="Times New Roman"/>
          <w:bCs/>
          <w:sz w:val="24"/>
          <w:szCs w:val="24"/>
        </w:rPr>
        <w:t xml:space="preserve"> </w:t>
      </w:r>
      <w:r w:rsidRPr="00DB36F0">
        <w:rPr>
          <w:rFonts w:ascii="Times New Roman" w:hAnsi="Times New Roman" w:cs="Times New Roman"/>
          <w:bCs/>
          <w:sz w:val="24"/>
          <w:szCs w:val="24"/>
        </w:rPr>
        <w:t>% de los códigos de una nube.</w:t>
      </w:r>
    </w:p>
    <w:p w:rsidR="00822D4B" w:rsidRPr="00DB36F0" w:rsidRDefault="00822D4B" w:rsidP="00A81185">
      <w:pPr>
        <w:pStyle w:val="Prrafodelista"/>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2</w:t>
      </w:r>
      <w:r w:rsidRPr="007F1D8A">
        <w:rPr>
          <w:rFonts w:ascii="Times New Roman" w:hAnsi="Times New Roman" w:cs="Times New Roman"/>
          <w:bCs/>
          <w:sz w:val="24"/>
          <w:szCs w:val="24"/>
          <w:vertAlign w:val="subscript"/>
        </w:rPr>
        <w:t>3</w:t>
      </w:r>
      <w:r w:rsidRPr="00DB36F0">
        <w:rPr>
          <w:rFonts w:ascii="Times New Roman" w:hAnsi="Times New Roman" w:cs="Times New Roman"/>
          <w:bCs/>
          <w:sz w:val="24"/>
          <w:szCs w:val="24"/>
        </w:rPr>
        <w:t>: Indicó el predominio de un indicador con rango bajo (entre 80 y 90</w:t>
      </w:r>
      <w:r w:rsidR="00B315B3">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 del conjunto de circunscripciones que </w:t>
      </w:r>
      <w:r w:rsidR="008F5A08">
        <w:rPr>
          <w:rFonts w:ascii="Times New Roman" w:hAnsi="Times New Roman" w:cs="Times New Roman"/>
          <w:bCs/>
          <w:sz w:val="24"/>
          <w:szCs w:val="24"/>
        </w:rPr>
        <w:t xml:space="preserve">conforman al nivel). </w:t>
      </w:r>
      <w:r w:rsidRPr="00DB36F0">
        <w:rPr>
          <w:rFonts w:ascii="Times New Roman" w:hAnsi="Times New Roman" w:cs="Times New Roman"/>
          <w:bCs/>
          <w:sz w:val="24"/>
          <w:szCs w:val="24"/>
        </w:rPr>
        <w:t>Los casos secundarios se presentaron como subíndices.</w:t>
      </w:r>
    </w:p>
    <w:p w:rsidR="00822D4B" w:rsidRPr="00DB36F0" w:rsidRDefault="00822D4B" w:rsidP="00A81185">
      <w:pPr>
        <w:pStyle w:val="Prrafodelista"/>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2</w:t>
      </w:r>
      <w:r w:rsidRPr="007F1D8A">
        <w:rPr>
          <w:rFonts w:ascii="Times New Roman" w:hAnsi="Times New Roman" w:cs="Times New Roman"/>
          <w:bCs/>
          <w:sz w:val="24"/>
          <w:szCs w:val="24"/>
          <w:vertAlign w:val="subscript"/>
        </w:rPr>
        <w:t>(3)</w:t>
      </w:r>
      <w:r w:rsidRPr="00DB36F0">
        <w:rPr>
          <w:rFonts w:ascii="Times New Roman" w:hAnsi="Times New Roman" w:cs="Times New Roman"/>
          <w:bCs/>
          <w:sz w:val="24"/>
          <w:szCs w:val="24"/>
        </w:rPr>
        <w:t>: Reveló el predomino relativo de valores bajos (entre 50 y menos de 80</w:t>
      </w:r>
      <w:r w:rsidR="00B315B3">
        <w:rPr>
          <w:rFonts w:ascii="Times New Roman" w:hAnsi="Times New Roman" w:cs="Times New Roman"/>
          <w:bCs/>
          <w:sz w:val="24"/>
          <w:szCs w:val="24"/>
        </w:rPr>
        <w:t xml:space="preserve"> </w:t>
      </w:r>
      <w:r w:rsidRPr="00DB36F0">
        <w:rPr>
          <w:rFonts w:ascii="Times New Roman" w:hAnsi="Times New Roman" w:cs="Times New Roman"/>
          <w:bCs/>
          <w:sz w:val="24"/>
          <w:szCs w:val="24"/>
        </w:rPr>
        <w:t>% de los municipios muestra esa condición). Se emplearon subíndices y paréntesis para expresar otros rangos que ostentó el indicador en cuestión.</w:t>
      </w:r>
    </w:p>
    <w:p w:rsidR="00822D4B" w:rsidRDefault="00822D4B" w:rsidP="00A81185">
      <w:pPr>
        <w:pStyle w:val="Prrafodelista"/>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2,3: Significó que los montos bajos y medios aparecieron con la misma frecuencia. Esa situación equilibrada se registró mediante el empleo de números de igual dimensión.</w:t>
      </w:r>
    </w:p>
    <w:p w:rsidR="003E7EA7" w:rsidRDefault="003E7EA7" w:rsidP="0008671D">
      <w:pPr>
        <w:pStyle w:val="Prrafodelista"/>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Tabla 7. </w:t>
      </w:r>
      <w:r w:rsidRPr="0008671D">
        <w:rPr>
          <w:rFonts w:ascii="Times New Roman" w:hAnsi="Times New Roman" w:cs="Times New Roman"/>
          <w:bCs/>
          <w:sz w:val="24"/>
          <w:szCs w:val="24"/>
        </w:rPr>
        <w:t>Características de los indicadores por niveles</w:t>
      </w:r>
    </w:p>
    <w:tbl>
      <w:tblPr>
        <w:tblW w:w="7200" w:type="dxa"/>
        <w:jc w:val="center"/>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3E7EA7" w:rsidRPr="003E7EA7" w:rsidTr="00C1261E">
        <w:trPr>
          <w:trHeight w:val="300"/>
          <w:jc w:val="center"/>
        </w:trPr>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right"/>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Indicadores</w:t>
            </w:r>
          </w:p>
        </w:tc>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DP</w:t>
            </w:r>
          </w:p>
        </w:tc>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GU</w:t>
            </w:r>
          </w:p>
        </w:tc>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CTA</w:t>
            </w:r>
          </w:p>
        </w:tc>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CPI</w:t>
            </w:r>
          </w:p>
        </w:tc>
        <w:tc>
          <w:tcPr>
            <w:tcW w:w="1200" w:type="dxa"/>
            <w:tcBorders>
              <w:bottom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DV</w:t>
            </w:r>
          </w:p>
        </w:tc>
      </w:tr>
      <w:tr w:rsidR="003E7EA7" w:rsidRPr="003E7EA7" w:rsidTr="00C1261E">
        <w:trPr>
          <w:trHeight w:val="300"/>
          <w:jc w:val="center"/>
        </w:trPr>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Niveles</w:t>
            </w:r>
          </w:p>
        </w:tc>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 </w:t>
            </w:r>
          </w:p>
        </w:tc>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 </w:t>
            </w:r>
          </w:p>
        </w:tc>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 </w:t>
            </w:r>
          </w:p>
        </w:tc>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 </w:t>
            </w:r>
          </w:p>
        </w:tc>
        <w:tc>
          <w:tcPr>
            <w:tcW w:w="1200" w:type="dxa"/>
            <w:tcBorders>
              <w:top w:val="nil"/>
            </w:tcBorders>
            <w:shd w:val="clear" w:color="auto" w:fill="404040" w:themeFill="text1" w:themeFillTint="BF"/>
            <w:noWrap/>
            <w:vAlign w:val="bottom"/>
            <w:hideMark/>
          </w:tcPr>
          <w:p w:rsidR="003E7EA7" w:rsidRPr="00C1261E" w:rsidRDefault="003E7EA7" w:rsidP="003E7EA7">
            <w:pPr>
              <w:spacing w:after="0" w:line="240" w:lineRule="auto"/>
              <w:jc w:val="center"/>
              <w:rPr>
                <w:rFonts w:ascii="Times New Roman" w:eastAsia="Times New Roman" w:hAnsi="Times New Roman" w:cs="Times New Roman"/>
                <w:b/>
                <w:bCs/>
                <w:color w:val="D9D9D9" w:themeColor="background1" w:themeShade="D9"/>
                <w:sz w:val="18"/>
                <w:szCs w:val="18"/>
                <w:lang w:eastAsia="es-MX"/>
              </w:rPr>
            </w:pPr>
            <w:r w:rsidRPr="00C1261E">
              <w:rPr>
                <w:rFonts w:ascii="Times New Roman" w:eastAsia="Times New Roman" w:hAnsi="Times New Roman" w:cs="Times New Roman"/>
                <w:b/>
                <w:bCs/>
                <w:color w:val="D9D9D9" w:themeColor="background1" w:themeShade="D9"/>
                <w:sz w:val="18"/>
                <w:szCs w:val="18"/>
                <w:lang w:eastAsia="es-MX"/>
              </w:rPr>
              <w:t> </w:t>
            </w:r>
          </w:p>
        </w:tc>
      </w:tr>
      <w:tr w:rsidR="003E7EA7" w:rsidRPr="003E7EA7" w:rsidTr="00C1261E">
        <w:trPr>
          <w:trHeight w:val="300"/>
          <w:jc w:val="center"/>
        </w:trPr>
        <w:tc>
          <w:tcPr>
            <w:tcW w:w="1200" w:type="dxa"/>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I</w:t>
            </w:r>
          </w:p>
        </w:tc>
        <w:tc>
          <w:tcPr>
            <w:tcW w:w="1200" w:type="dxa"/>
            <w:shd w:val="clear" w:color="000000" w:fill="FFFFFF"/>
            <w:noWrap/>
            <w:vAlign w:val="bottom"/>
            <w:hideMark/>
          </w:tcPr>
          <w:p w:rsidR="003E7EA7" w:rsidRPr="0014537D" w:rsidRDefault="003E7EA7" w:rsidP="0014537D">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II</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3 4</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III</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IV</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1 </w:t>
            </w:r>
            <w:r w:rsidRPr="0014537D">
              <w:rPr>
                <w:rFonts w:ascii="Times New Roman" w:eastAsia="Times New Roman" w:hAnsi="Times New Roman" w:cs="Times New Roman"/>
                <w:color w:val="000000"/>
                <w:sz w:val="18"/>
                <w:szCs w:val="18"/>
                <w:vertAlign w:val="subscript"/>
                <w:lang w:eastAsia="es-MX"/>
              </w:rPr>
              <w:t>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V</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MS Mincho" w:hAnsi="Times New Roman" w:cs="Times New Roman"/>
                <w:color w:val="000000"/>
                <w:sz w:val="18"/>
                <w:szCs w:val="18"/>
                <w:lang w:eastAsia="es-MX"/>
              </w:rPr>
            </w:pPr>
            <w:r w:rsidRPr="0014537D">
              <w:rPr>
                <w:rFonts w:ascii="Times New Roman" w:eastAsia="MS Mincho" w:hAnsi="Times New Roman" w:cs="Times New Roman"/>
                <w:color w:val="000000"/>
                <w:sz w:val="18"/>
                <w:szCs w:val="18"/>
                <w:lang w:eastAsia="es-MX"/>
              </w:rPr>
              <w:t xml:space="preserve">   1 </w:t>
            </w:r>
            <w:r w:rsidRPr="0014537D">
              <w:rPr>
                <w:rFonts w:ascii="Times New Roman" w:eastAsia="MS Mincho" w:hAnsi="Times New Roman" w:cs="Times New Roman"/>
                <w:color w:val="000000"/>
                <w:sz w:val="18"/>
                <w:szCs w:val="18"/>
                <w:vertAlign w:val="subscript"/>
                <w:lang w:eastAsia="es-MX"/>
              </w:rPr>
              <w:t>(2) (3)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w:t>
            </w:r>
            <w:r w:rsidRPr="0014537D">
              <w:rPr>
                <w:rFonts w:ascii="Times New Roman" w:eastAsia="Times New Roman" w:hAnsi="Times New Roman" w:cs="Times New Roman"/>
                <w:color w:val="000000"/>
                <w:sz w:val="18"/>
                <w:szCs w:val="18"/>
                <w:vertAlign w:val="subscript"/>
                <w:lang w:eastAsia="es-MX"/>
              </w:rPr>
              <w:t xml:space="preserve">(2) </w:t>
            </w:r>
            <w:r w:rsidRPr="0014537D">
              <w:rPr>
                <w:rFonts w:ascii="Times New Roman" w:eastAsia="Times New Roman" w:hAnsi="Times New Roman" w:cs="Times New Roman"/>
                <w:color w:val="000000"/>
                <w:sz w:val="18"/>
                <w:szCs w:val="18"/>
                <w:lang w:eastAsia="es-MX"/>
              </w:rPr>
              <w:t xml:space="preserve">3 </w:t>
            </w:r>
            <w:r w:rsidRPr="0014537D">
              <w:rPr>
                <w:rFonts w:ascii="Times New Roman" w:eastAsia="Times New Roman" w:hAnsi="Times New Roman" w:cs="Times New Roman"/>
                <w:color w:val="000000"/>
                <w:sz w:val="18"/>
                <w:szCs w:val="18"/>
                <w:vertAlign w:val="subscript"/>
                <w:lang w:eastAsia="es-MX"/>
              </w:rPr>
              <w:t>(4) (5)</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1, 2 </w:t>
            </w:r>
            <w:r w:rsidRPr="0014537D">
              <w:rPr>
                <w:rFonts w:ascii="Times New Roman" w:eastAsia="Times New Roman" w:hAnsi="Times New Roman" w:cs="Times New Roman"/>
                <w:color w:val="000000"/>
                <w:sz w:val="18"/>
                <w:szCs w:val="18"/>
                <w:vertAlign w:val="subscript"/>
                <w:lang w:eastAsia="es-MX"/>
              </w:rPr>
              <w:t>(3) (4)</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VI</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3 </w:t>
            </w:r>
            <w:r w:rsidRPr="0014537D">
              <w:rPr>
                <w:rFonts w:ascii="Times New Roman" w:eastAsia="Times New Roman" w:hAnsi="Times New Roman" w:cs="Times New Roman"/>
                <w:color w:val="000000"/>
                <w:sz w:val="18"/>
                <w:szCs w:val="18"/>
                <w:vertAlign w:val="subscript"/>
                <w:lang w:eastAsia="es-MX"/>
              </w:rPr>
              <w:t>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1 </w:t>
            </w:r>
            <w:r w:rsidRPr="0014537D">
              <w:rPr>
                <w:rFonts w:ascii="Times New Roman" w:eastAsia="Times New Roman" w:hAnsi="Times New Roman" w:cs="Times New Roman"/>
                <w:color w:val="000000"/>
                <w:sz w:val="18"/>
                <w:szCs w:val="18"/>
                <w:vertAlign w:val="subscript"/>
                <w:lang w:eastAsia="es-MX"/>
              </w:rPr>
              <w:t>(2)(4)</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1, 2, 3 </w:t>
            </w:r>
            <w:r w:rsidRPr="0014537D">
              <w:rPr>
                <w:rFonts w:ascii="Times New Roman" w:eastAsia="Times New Roman" w:hAnsi="Times New Roman" w:cs="Times New Roman"/>
                <w:color w:val="000000"/>
                <w:sz w:val="18"/>
                <w:szCs w:val="18"/>
                <w:vertAlign w:val="subscript"/>
                <w:lang w:eastAsia="es-MX"/>
              </w:rPr>
              <w:t>(5)</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VII</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(4)</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1 </w:t>
            </w:r>
            <w:r w:rsidRPr="0014537D">
              <w:rPr>
                <w:rFonts w:ascii="Times New Roman" w:eastAsia="Times New Roman" w:hAnsi="Times New Roman" w:cs="Times New Roman"/>
                <w:color w:val="000000"/>
                <w:sz w:val="18"/>
                <w:szCs w:val="18"/>
                <w:vertAlign w:val="subscript"/>
                <w:lang w:eastAsia="es-MX"/>
              </w:rPr>
              <w:t>(2)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(4)</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VIII</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1, 2, 3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3, 4, 5</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2 </w:t>
            </w:r>
            <w:r w:rsidRPr="0014537D">
              <w:rPr>
                <w:rFonts w:ascii="Times New Roman" w:eastAsia="Times New Roman" w:hAnsi="Times New Roman" w:cs="Times New Roman"/>
                <w:color w:val="000000"/>
                <w:sz w:val="18"/>
                <w:szCs w:val="18"/>
                <w:vertAlign w:val="subscript"/>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vertAlign w:val="subscript"/>
                <w:lang w:eastAsia="es-MX"/>
              </w:rPr>
              <w:t xml:space="preserve">   (1) </w:t>
            </w:r>
            <w:r w:rsidRPr="0014537D">
              <w:rPr>
                <w:rFonts w:ascii="Times New Roman" w:eastAsia="Times New Roman" w:hAnsi="Times New Roman" w:cs="Times New Roman"/>
                <w:color w:val="000000"/>
                <w:sz w:val="18"/>
                <w:szCs w:val="18"/>
                <w:lang w:eastAsia="es-MX"/>
              </w:rPr>
              <w:t xml:space="preserve">2 </w:t>
            </w:r>
            <w:r w:rsidRPr="0014537D">
              <w:rPr>
                <w:rFonts w:ascii="Times New Roman" w:eastAsia="Times New Roman" w:hAnsi="Times New Roman" w:cs="Times New Roman"/>
                <w:color w:val="000000"/>
                <w:sz w:val="18"/>
                <w:szCs w:val="18"/>
                <w:vertAlign w:val="subscript"/>
                <w:lang w:eastAsia="es-MX"/>
              </w:rPr>
              <w:t>(3) (4)</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IX</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vertAlign w:val="subscript"/>
                <w:lang w:eastAsia="es-MX"/>
              </w:rPr>
              <w:t xml:space="preserve">                 2 </w:t>
            </w:r>
            <w:r w:rsidRPr="0014537D">
              <w:rPr>
                <w:rFonts w:ascii="Times New Roman" w:eastAsia="Times New Roman" w:hAnsi="Times New Roman" w:cs="Times New Roman"/>
                <w:color w:val="000000"/>
                <w:sz w:val="18"/>
                <w:szCs w:val="18"/>
                <w:lang w:eastAsia="es-MX"/>
              </w:rPr>
              <w:t xml:space="preserve">3 </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   3 </w:t>
            </w:r>
            <w:r w:rsidRPr="0014537D">
              <w:rPr>
                <w:rFonts w:ascii="Times New Roman" w:eastAsia="Times New Roman" w:hAnsi="Times New Roman" w:cs="Times New Roman"/>
                <w:color w:val="000000"/>
                <w:sz w:val="18"/>
                <w:szCs w:val="18"/>
                <w:vertAlign w:val="subscript"/>
                <w:lang w:eastAsia="es-MX"/>
              </w:rPr>
              <w:t>(4)</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vertAlign w:val="subscript"/>
                <w:lang w:eastAsia="es-MX"/>
              </w:rPr>
              <w:t xml:space="preserve">             2</w:t>
            </w:r>
            <w:r w:rsidRPr="0014537D">
              <w:rPr>
                <w:rFonts w:ascii="Times New Roman" w:eastAsia="Times New Roman" w:hAnsi="Times New Roman" w:cs="Times New Roman"/>
                <w:color w:val="000000"/>
                <w:sz w:val="18"/>
                <w:szCs w:val="18"/>
                <w:lang w:eastAsia="es-MX"/>
              </w:rPr>
              <w:t xml:space="preserve"> 3 </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 xml:space="preserve">1 </w:t>
            </w:r>
            <w:r w:rsidRPr="0014537D">
              <w:rPr>
                <w:rFonts w:ascii="Times New Roman" w:eastAsia="Times New Roman" w:hAnsi="Times New Roman" w:cs="Times New Roman"/>
                <w:color w:val="000000"/>
                <w:sz w:val="18"/>
                <w:szCs w:val="18"/>
                <w:vertAlign w:val="subscript"/>
                <w:lang w:eastAsia="es-MX"/>
              </w:rPr>
              <w:t>2</w:t>
            </w:r>
          </w:p>
        </w:tc>
      </w:tr>
      <w:tr w:rsidR="003E7EA7" w:rsidRPr="003E7EA7" w:rsidTr="00C1261E">
        <w:trPr>
          <w:trHeight w:val="300"/>
          <w:jc w:val="center"/>
        </w:trPr>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X</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3 4</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3</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4 5</w:t>
            </w:r>
          </w:p>
        </w:tc>
        <w:tc>
          <w:tcPr>
            <w:tcW w:w="1200" w:type="dxa"/>
            <w:tcBorders>
              <w:top w:val="nil"/>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1 4</w:t>
            </w:r>
          </w:p>
        </w:tc>
      </w:tr>
      <w:tr w:rsidR="003E7EA7" w:rsidRPr="003E7EA7" w:rsidTr="00C1261E">
        <w:trPr>
          <w:trHeight w:val="300"/>
          <w:jc w:val="center"/>
        </w:trPr>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b/>
                <w:bCs/>
                <w:color w:val="000000"/>
                <w:sz w:val="18"/>
                <w:szCs w:val="18"/>
                <w:lang w:eastAsia="es-MX"/>
              </w:rPr>
            </w:pPr>
            <w:r w:rsidRPr="0014537D">
              <w:rPr>
                <w:rFonts w:ascii="Times New Roman" w:eastAsia="Times New Roman" w:hAnsi="Times New Roman" w:cs="Times New Roman"/>
                <w:b/>
                <w:bCs/>
                <w:color w:val="000000"/>
                <w:sz w:val="18"/>
                <w:szCs w:val="18"/>
                <w:lang w:eastAsia="es-MX"/>
              </w:rPr>
              <w:t>XI</w:t>
            </w:r>
          </w:p>
        </w:tc>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4 5</w:t>
            </w:r>
          </w:p>
        </w:tc>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5</w:t>
            </w:r>
          </w:p>
        </w:tc>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w:t>
            </w:r>
          </w:p>
        </w:tc>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4</w:t>
            </w:r>
          </w:p>
        </w:tc>
        <w:tc>
          <w:tcPr>
            <w:tcW w:w="1200" w:type="dxa"/>
            <w:tcBorders>
              <w:top w:val="nil"/>
              <w:bottom w:val="single" w:sz="4" w:space="0" w:color="auto"/>
            </w:tcBorders>
            <w:shd w:val="clear" w:color="000000" w:fill="FFFFFF"/>
            <w:noWrap/>
            <w:vAlign w:val="bottom"/>
            <w:hideMark/>
          </w:tcPr>
          <w:p w:rsidR="003E7EA7" w:rsidRPr="0014537D" w:rsidRDefault="003E7EA7" w:rsidP="003E7EA7">
            <w:pPr>
              <w:spacing w:after="0" w:line="240" w:lineRule="auto"/>
              <w:jc w:val="center"/>
              <w:rPr>
                <w:rFonts w:ascii="Times New Roman" w:eastAsia="Times New Roman" w:hAnsi="Times New Roman" w:cs="Times New Roman"/>
                <w:color w:val="000000"/>
                <w:sz w:val="18"/>
                <w:szCs w:val="18"/>
                <w:lang w:eastAsia="es-MX"/>
              </w:rPr>
            </w:pPr>
            <w:r w:rsidRPr="0014537D">
              <w:rPr>
                <w:rFonts w:ascii="Times New Roman" w:eastAsia="Times New Roman" w:hAnsi="Times New Roman" w:cs="Times New Roman"/>
                <w:color w:val="000000"/>
                <w:sz w:val="18"/>
                <w:szCs w:val="18"/>
                <w:lang w:eastAsia="es-MX"/>
              </w:rPr>
              <w:t>1 2</w:t>
            </w:r>
          </w:p>
        </w:tc>
      </w:tr>
    </w:tbl>
    <w:p w:rsidR="003E7EA7" w:rsidRDefault="0008671D" w:rsidP="0008671D">
      <w:pPr>
        <w:pStyle w:val="Prrafodelista"/>
        <w:spacing w:line="360" w:lineRule="auto"/>
        <w:ind w:left="0"/>
        <w:jc w:val="center"/>
        <w:rPr>
          <w:rFonts w:ascii="Times New Roman" w:hAnsi="Times New Roman" w:cs="Times New Roman"/>
          <w:bCs/>
          <w:sz w:val="24"/>
          <w:szCs w:val="24"/>
        </w:rPr>
      </w:pPr>
      <w:r w:rsidRPr="0008671D">
        <w:rPr>
          <w:rFonts w:ascii="Times New Roman" w:hAnsi="Times New Roman" w:cs="Times New Roman"/>
          <w:bCs/>
          <w:sz w:val="24"/>
          <w:szCs w:val="18"/>
        </w:rPr>
        <w:t>Fuente: elaborado con base en el comportamiento de los indicadores ponderados</w:t>
      </w:r>
      <w:r>
        <w:rPr>
          <w:rFonts w:ascii="Times New Roman" w:hAnsi="Times New Roman" w:cs="Times New Roman"/>
          <w:bCs/>
          <w:sz w:val="18"/>
          <w:szCs w:val="18"/>
        </w:rPr>
        <w:t>.</w:t>
      </w:r>
    </w:p>
    <w:p w:rsidR="003E7EA7" w:rsidRPr="000335F8" w:rsidRDefault="003E7EA7" w:rsidP="000335F8">
      <w:pPr>
        <w:spacing w:line="360" w:lineRule="auto"/>
        <w:jc w:val="both"/>
        <w:rPr>
          <w:rFonts w:ascii="Times New Roman" w:hAnsi="Times New Roman" w:cs="Times New Roman"/>
          <w:bCs/>
          <w:sz w:val="24"/>
          <w:szCs w:val="24"/>
        </w:rPr>
      </w:pPr>
    </w:p>
    <w:p w:rsidR="003B4636" w:rsidRPr="00DB36F0" w:rsidRDefault="003B4636" w:rsidP="00DB36F0">
      <w:pPr>
        <w:spacing w:line="360" w:lineRule="auto"/>
        <w:jc w:val="both"/>
        <w:rPr>
          <w:rFonts w:ascii="Times New Roman" w:hAnsi="Times New Roman" w:cs="Times New Roman"/>
          <w:b/>
          <w:bCs/>
          <w:sz w:val="24"/>
          <w:szCs w:val="24"/>
        </w:rPr>
      </w:pPr>
      <w:r w:rsidRPr="00DB36F0">
        <w:rPr>
          <w:rFonts w:ascii="Times New Roman" w:hAnsi="Times New Roman" w:cs="Times New Roman"/>
          <w:b/>
          <w:bCs/>
          <w:sz w:val="24"/>
          <w:szCs w:val="24"/>
        </w:rPr>
        <w:t>Resultados</w:t>
      </w:r>
    </w:p>
    <w:p w:rsidR="003B4636" w:rsidRDefault="003B4636"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En el estado de Guerrero se descubrieron once niveles</w:t>
      </w:r>
      <w:r w:rsidR="006216B3">
        <w:rPr>
          <w:rFonts w:ascii="Times New Roman" w:hAnsi="Times New Roman" w:cs="Times New Roman"/>
          <w:bCs/>
          <w:sz w:val="24"/>
          <w:szCs w:val="24"/>
        </w:rPr>
        <w:t xml:space="preserve"> y</w:t>
      </w:r>
      <w:r w:rsidRPr="00DB36F0">
        <w:rPr>
          <w:rFonts w:ascii="Times New Roman" w:hAnsi="Times New Roman" w:cs="Times New Roman"/>
          <w:bCs/>
          <w:sz w:val="24"/>
          <w:szCs w:val="24"/>
        </w:rPr>
        <w:t xml:space="preserve"> el predominio de indicadores con poca trascendencia cuantitativa reveló muy baja asimilación económica en cuarenta y tres municipios</w:t>
      </w:r>
      <w:r w:rsidR="003E7EA7">
        <w:rPr>
          <w:rFonts w:ascii="Times New Roman" w:hAnsi="Times New Roman" w:cs="Times New Roman"/>
          <w:bCs/>
          <w:sz w:val="24"/>
          <w:szCs w:val="24"/>
        </w:rPr>
        <w:t xml:space="preserve"> (</w:t>
      </w:r>
      <w:r w:rsidR="00B315B3">
        <w:rPr>
          <w:rFonts w:ascii="Times New Roman" w:hAnsi="Times New Roman" w:cs="Times New Roman"/>
          <w:bCs/>
          <w:sz w:val="24"/>
          <w:szCs w:val="24"/>
        </w:rPr>
        <w:t>f</w:t>
      </w:r>
      <w:r w:rsidR="003E7EA7">
        <w:rPr>
          <w:rFonts w:ascii="Times New Roman" w:hAnsi="Times New Roman" w:cs="Times New Roman"/>
          <w:bCs/>
          <w:sz w:val="24"/>
          <w:szCs w:val="24"/>
        </w:rPr>
        <w:t>igura 3)</w:t>
      </w:r>
      <w:r w:rsidRPr="00DB36F0">
        <w:rPr>
          <w:rFonts w:ascii="Times New Roman" w:hAnsi="Times New Roman" w:cs="Times New Roman"/>
          <w:bCs/>
          <w:sz w:val="24"/>
          <w:szCs w:val="24"/>
        </w:rPr>
        <w:t xml:space="preserve">. Un panorama socioeconómico análogo tuvo lugar en todas las demarcaciones con nivel IV, V y VI. Éstos advirtieron la existencia de espacios con baja asimilación (en total veinte jurisdicciones), pues, aunque en proporción menor que en los tres primeros estratos, fueron recurrentes los valores bajos y muy bajos. Sólo algunas circunscripciones reportaron cierta importancia en los montos de población relativa, concentración regional de tierras con riego o de la producción industrial. </w:t>
      </w:r>
    </w:p>
    <w:p w:rsidR="001F6363" w:rsidRDefault="001F6363" w:rsidP="001F6363">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Con base en lo descrito, se halló que 77</w:t>
      </w:r>
      <w:r w:rsidR="00B315B3">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 de los municipios guerrerenses manifestaron asimilación económica mínima. La mayoría de ellos tiene en común las características siguientes: alberga asentamientos humanos pequeños, dispersos y escasamente articulados por algún tipo de carretera. Posee niveles altos de pobreza, grados elevados de marginación, cuenta con cantidad substancial de familias campesinas. Por lo general, éstas no captan inversiones económicas que den pauta para desempeñar actividades agropecuarias o silvícolas rentables y sustentables. Además, el sector secundario tampoco ha sido estimulado significativamente por ninguno de los </w:t>
      </w:r>
      <w:r w:rsidRPr="00DB36F0">
        <w:rPr>
          <w:rFonts w:ascii="Times New Roman" w:hAnsi="Times New Roman" w:cs="Times New Roman"/>
          <w:bCs/>
          <w:sz w:val="24"/>
          <w:szCs w:val="24"/>
        </w:rPr>
        <w:lastRenderedPageBreak/>
        <w:t>tres niveles de gobierno o la iniciativa privada, las inversiones registradas son escasas</w:t>
      </w:r>
      <w:r w:rsidR="00366D06">
        <w:rPr>
          <w:rFonts w:ascii="Times New Roman" w:hAnsi="Times New Roman" w:cs="Times New Roman"/>
          <w:bCs/>
          <w:sz w:val="24"/>
          <w:szCs w:val="24"/>
        </w:rPr>
        <w:t xml:space="preserve"> (García, 2011)</w:t>
      </w:r>
      <w:r w:rsidRPr="00DB36F0">
        <w:rPr>
          <w:rFonts w:ascii="Times New Roman" w:hAnsi="Times New Roman" w:cs="Times New Roman"/>
          <w:bCs/>
          <w:sz w:val="24"/>
          <w:szCs w:val="24"/>
        </w:rPr>
        <w:t xml:space="preserve">. </w:t>
      </w:r>
    </w:p>
    <w:p w:rsidR="0008671D" w:rsidRPr="0008671D" w:rsidRDefault="0008671D" w:rsidP="0008671D">
      <w:pPr>
        <w:jc w:val="center"/>
        <w:rPr>
          <w:rFonts w:ascii="Times New Roman" w:hAnsi="Times New Roman" w:cs="Times New Roman"/>
          <w:b/>
          <w:sz w:val="24"/>
          <w:szCs w:val="20"/>
        </w:rPr>
      </w:pPr>
      <w:r w:rsidRPr="0008671D">
        <w:rPr>
          <w:rFonts w:ascii="Times New Roman" w:hAnsi="Times New Roman" w:cs="Times New Roman"/>
          <w:b/>
          <w:sz w:val="24"/>
          <w:szCs w:val="20"/>
        </w:rPr>
        <w:t>Figura 3. Guerrero: niveles de asimilación económica</w:t>
      </w:r>
    </w:p>
    <w:p w:rsidR="00A81185" w:rsidRDefault="00A81185" w:rsidP="00A81185">
      <w:pPr>
        <w:spacing w:line="360" w:lineRule="auto"/>
        <w:jc w:val="center"/>
        <w:rPr>
          <w:rFonts w:ascii="Times New Roman" w:hAnsi="Times New Roman" w:cs="Times New Roman"/>
          <w:bCs/>
          <w:sz w:val="24"/>
          <w:szCs w:val="24"/>
        </w:rPr>
      </w:pPr>
      <w:r w:rsidRPr="001F6363">
        <w:rPr>
          <w:noProof/>
          <w:lang w:eastAsia="es-MX"/>
        </w:rPr>
        <w:drawing>
          <wp:inline distT="0" distB="0" distL="0" distR="0" wp14:anchorId="07805E6E" wp14:editId="62B34C25">
            <wp:extent cx="5971540" cy="68484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71540" cy="6848475"/>
                    </a:xfrm>
                    <a:prstGeom prst="rect">
                      <a:avLst/>
                    </a:prstGeom>
                    <a:noFill/>
                    <a:ln>
                      <a:noFill/>
                    </a:ln>
                  </pic:spPr>
                </pic:pic>
              </a:graphicData>
            </a:graphic>
          </wp:inline>
        </w:drawing>
      </w:r>
    </w:p>
    <w:p w:rsidR="00A81185" w:rsidRDefault="0008671D" w:rsidP="0008671D">
      <w:pPr>
        <w:spacing w:line="360" w:lineRule="auto"/>
        <w:jc w:val="center"/>
        <w:rPr>
          <w:rFonts w:ascii="Times New Roman" w:hAnsi="Times New Roman" w:cs="Times New Roman"/>
          <w:bCs/>
          <w:sz w:val="24"/>
          <w:szCs w:val="24"/>
        </w:rPr>
      </w:pPr>
      <w:r w:rsidRPr="0008671D">
        <w:rPr>
          <w:rFonts w:ascii="Times New Roman" w:hAnsi="Times New Roman" w:cs="Times New Roman"/>
          <w:bCs/>
          <w:sz w:val="24"/>
          <w:szCs w:val="18"/>
        </w:rPr>
        <w:t>Fuente: elaborado con base en el comportamiento de los indicadores ponderados.</w:t>
      </w:r>
    </w:p>
    <w:p w:rsidR="009C29DE" w:rsidRDefault="001F6363" w:rsidP="009C29DE">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lastRenderedPageBreak/>
        <w:t xml:space="preserve">Las categorías VII y VIII están asociadas </w:t>
      </w:r>
      <w:r w:rsidR="006216B3">
        <w:rPr>
          <w:rFonts w:ascii="Times New Roman" w:hAnsi="Times New Roman" w:cs="Times New Roman"/>
          <w:bCs/>
          <w:sz w:val="24"/>
          <w:szCs w:val="24"/>
        </w:rPr>
        <w:t>a</w:t>
      </w:r>
      <w:r w:rsidRPr="00DB36F0">
        <w:rPr>
          <w:rFonts w:ascii="Times New Roman" w:hAnsi="Times New Roman" w:cs="Times New Roman"/>
          <w:bCs/>
          <w:sz w:val="24"/>
          <w:szCs w:val="24"/>
        </w:rPr>
        <w:t xml:space="preserve"> una condición de asimilación económica intermedia, la cual se identificó en nueve municipios. Éstos se ubican en el área septentrional de Guerrero, a lo largo de la costa y en menor medida en la región Centro. Un rasgo sobresaliente fue que sus cabeceras municipales tienen más de 15 000 habitantes y fungen como centros de abasto comercial para las circunscripciones adyacentes. Asimismo, la agricultura y la ganadería poseen cierta relevancia económica debido a que hay algunas áreas con características físicas favorables para el desempeño de esas actividades o bien se les ha dotado de infraestructura hidroagrícola, desde hace varios decenios. Otro rasgo característico es la sobreexplotación de los recursos forestales, situados en las partes serranas de las demarcaciones costeras con asimilación económica media. </w:t>
      </w:r>
    </w:p>
    <w:p w:rsidR="003B4636" w:rsidRPr="009C29DE" w:rsidRDefault="000335F8" w:rsidP="009C29DE">
      <w:pPr>
        <w:spacing w:line="360" w:lineRule="auto"/>
        <w:jc w:val="both"/>
        <w:rPr>
          <w:rFonts w:ascii="Times New Roman" w:hAnsi="Times New Roman" w:cs="Times New Roman"/>
          <w:bCs/>
          <w:sz w:val="24"/>
          <w:szCs w:val="24"/>
        </w:rPr>
      </w:pPr>
      <w:r w:rsidRPr="002F0524">
        <w:rPr>
          <w:rFonts w:ascii="Times New Roman" w:hAnsi="Times New Roman" w:cs="Times New Roman"/>
          <w:b/>
          <w:bCs/>
          <w:noProof/>
          <w:sz w:val="20"/>
          <w:szCs w:val="20"/>
          <w:lang w:eastAsia="es-MX"/>
        </w:rPr>
        <mc:AlternateContent>
          <mc:Choice Requires="wps">
            <w:drawing>
              <wp:anchor distT="0" distB="0" distL="114300" distR="114300" simplePos="0" relativeHeight="251673600" behindDoc="0" locked="0" layoutInCell="1" allowOverlap="1" wp14:anchorId="7FBA83F9" wp14:editId="3165DEF8">
                <wp:simplePos x="0" y="0"/>
                <wp:positionH relativeFrom="column">
                  <wp:posOffset>281940</wp:posOffset>
                </wp:positionH>
                <wp:positionV relativeFrom="paragraph">
                  <wp:posOffset>6899910</wp:posOffset>
                </wp:positionV>
                <wp:extent cx="4556760" cy="335280"/>
                <wp:effectExtent l="0" t="0" r="0" b="7620"/>
                <wp:wrapNone/>
                <wp:docPr id="20" name="Cuadro de texto 20"/>
                <wp:cNvGraphicFramePr/>
                <a:graphic xmlns:a="http://schemas.openxmlformats.org/drawingml/2006/main">
                  <a:graphicData uri="http://schemas.microsoft.com/office/word/2010/wordprocessingShape">
                    <wps:wsp>
                      <wps:cNvSpPr txBox="1"/>
                      <wps:spPr>
                        <a:xfrm>
                          <a:off x="0" y="0"/>
                          <a:ext cx="4556760" cy="335280"/>
                        </a:xfrm>
                        <a:prstGeom prst="rect">
                          <a:avLst/>
                        </a:prstGeom>
                        <a:noFill/>
                        <a:ln w="6350">
                          <a:noFill/>
                        </a:ln>
                        <a:effectLst/>
                      </wps:spPr>
                      <wps:txbx>
                        <w:txbxContent>
                          <w:p w:rsidR="00937542" w:rsidRDefault="00937542" w:rsidP="000335F8">
                            <w:r w:rsidRPr="008153AD">
                              <w:rPr>
                                <w:rFonts w:ascii="Times New Roman" w:hAnsi="Times New Roman" w:cs="Times New Roman"/>
                                <w:bCs/>
                                <w:sz w:val="18"/>
                                <w:szCs w:val="18"/>
                              </w:rPr>
                              <w:t>Fuente: e</w:t>
                            </w:r>
                            <w:r>
                              <w:rPr>
                                <w:rFonts w:ascii="Times New Roman" w:hAnsi="Times New Roman" w:cs="Times New Roman"/>
                                <w:bCs/>
                                <w:sz w:val="18"/>
                                <w:szCs w:val="18"/>
                              </w:rPr>
                              <w:t>laborado con base en el comportamiento de los indicadores ponderados.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BA83F9" id="_x0000_t202" coordsize="21600,21600" o:spt="202" path="m,l,21600r21600,l21600,xe">
                <v:stroke joinstyle="miter"/>
                <v:path gradientshapeok="t" o:connecttype="rect"/>
              </v:shapetype>
              <v:shape id="Cuadro de texto 20" o:spid="_x0000_s1026" type="#_x0000_t202" style="position:absolute;left:0;text-align:left;margin-left:22.2pt;margin-top:543.3pt;width:358.8pt;height:26.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" filled="f" stroked="f" strokeweight=".5pt">
                <v:textbox>
                  <w:txbxContent>
                    <w:p w:rsidR="00937542" w:rsidRDefault="00937542" w:rsidP="000335F8">
                      <w:r w:rsidRPr="008153AD">
                        <w:rPr>
                          <w:rFonts w:ascii="Times New Roman" w:hAnsi="Times New Roman" w:cs="Times New Roman"/>
                          <w:bCs/>
                          <w:sz w:val="18"/>
                          <w:szCs w:val="18"/>
                        </w:rPr>
                        <w:t>Fuente: e</w:t>
                      </w:r>
                      <w:r>
                        <w:rPr>
                          <w:rFonts w:ascii="Times New Roman" w:hAnsi="Times New Roman" w:cs="Times New Roman"/>
                          <w:bCs/>
                          <w:sz w:val="18"/>
                          <w:szCs w:val="18"/>
                        </w:rPr>
                        <w:t>laborado con base en el comportamiento de los indicadores ponderados.</w:t>
                      </w:r>
                    </w:p>
                  </w:txbxContent>
                </v:textbox>
              </v:shape>
            </w:pict>
          </mc:Fallback>
        </mc:AlternateContent>
      </w:r>
      <w:r w:rsidR="003B4636" w:rsidRPr="00DB36F0">
        <w:rPr>
          <w:rFonts w:ascii="Times New Roman" w:hAnsi="Times New Roman" w:cs="Times New Roman"/>
          <w:bCs/>
          <w:sz w:val="24"/>
          <w:szCs w:val="24"/>
        </w:rPr>
        <w:t>En tanto, los espacios altamente asimilados son aquellos que exhibieron nivel IX y X. En tal circunstancia se encontraron siete municipios que presentan la dinámica socioeconómica señalada a continuación. Tienen una cantidad relevante de habitantes del estado y cuentan con ciudades con más de 20 000 personas. Por lo general, esos asentamientos asumen un papel notable en el abastecimiento regional de bienes y servicios; han recibido, reiteradamente, en menor o mayor proporción inversiones económicas y se conciben como lugares atractivos para el resto de los guerrerenses, quienes migran a esos sitios y debido a su escasa calificación laboral suelen desempeñar labores relacionadas con el comercio o los servicios. Lógicamente, esa situación ha originado expansión demográfica y crecimiento del sector terciario en esas localidades de la entidad. Las características puntualizadas en este párrafo se acentúan en los municipios con la mayor asimilación económica de Guerrero, descubierta en Acapulco e Iguala (nivel XI).</w:t>
      </w:r>
    </w:p>
    <w:p w:rsidR="003B4636" w:rsidRPr="00DB36F0" w:rsidRDefault="003B4636" w:rsidP="00DB36F0">
      <w:pPr>
        <w:spacing w:line="360" w:lineRule="auto"/>
        <w:jc w:val="both"/>
        <w:rPr>
          <w:rFonts w:ascii="Times New Roman" w:hAnsi="Times New Roman" w:cs="Times New Roman"/>
          <w:b/>
          <w:bCs/>
          <w:sz w:val="24"/>
          <w:szCs w:val="24"/>
        </w:rPr>
      </w:pPr>
      <w:r w:rsidRPr="00DB36F0">
        <w:rPr>
          <w:rFonts w:ascii="Times New Roman" w:hAnsi="Times New Roman" w:cs="Times New Roman"/>
          <w:b/>
          <w:bCs/>
          <w:sz w:val="24"/>
          <w:szCs w:val="24"/>
        </w:rPr>
        <w:t>Discusión </w:t>
      </w:r>
    </w:p>
    <w:p w:rsidR="002953E8" w:rsidRPr="00DB36F0" w:rsidRDefault="00E4249B" w:rsidP="00DB36F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w:t>
      </w:r>
      <w:r w:rsidR="00FB73A2" w:rsidRPr="00DB36F0">
        <w:rPr>
          <w:rFonts w:ascii="Times New Roman" w:hAnsi="Times New Roman" w:cs="Times New Roman"/>
          <w:bCs/>
          <w:sz w:val="24"/>
          <w:szCs w:val="24"/>
        </w:rPr>
        <w:t>a ponderación del proceso de asimilación económica en Guerrero podría ser un referente inicial para el diseño de las políticas públicas que tengan como objetivo fundamental incentivar la transformación positiva del panorama económico-productivo e</w:t>
      </w:r>
      <w:r w:rsidR="00180760" w:rsidRPr="00DB36F0">
        <w:rPr>
          <w:rFonts w:ascii="Times New Roman" w:hAnsi="Times New Roman" w:cs="Times New Roman"/>
          <w:bCs/>
          <w:sz w:val="24"/>
          <w:szCs w:val="24"/>
        </w:rPr>
        <w:t xml:space="preserve">statal. La determinación de los niveles de asimilación económica </w:t>
      </w:r>
      <w:r w:rsidR="00FB73A2" w:rsidRPr="00DB36F0">
        <w:rPr>
          <w:rFonts w:ascii="Times New Roman" w:hAnsi="Times New Roman" w:cs="Times New Roman"/>
          <w:bCs/>
          <w:sz w:val="24"/>
          <w:szCs w:val="24"/>
        </w:rPr>
        <w:t>agiliza la identificación de las áreas donde es factible impulsar proye</w:t>
      </w:r>
      <w:r w:rsidR="0078227A">
        <w:rPr>
          <w:rFonts w:ascii="Times New Roman" w:hAnsi="Times New Roman" w:cs="Times New Roman"/>
          <w:bCs/>
          <w:sz w:val="24"/>
          <w:szCs w:val="24"/>
        </w:rPr>
        <w:t xml:space="preserve">ctos económicos concretos </w:t>
      </w:r>
      <w:r w:rsidR="00FB73A2" w:rsidRPr="00DB36F0">
        <w:rPr>
          <w:rFonts w:ascii="Times New Roman" w:hAnsi="Times New Roman" w:cs="Times New Roman"/>
          <w:bCs/>
          <w:sz w:val="24"/>
          <w:szCs w:val="24"/>
        </w:rPr>
        <w:t xml:space="preserve">y, por otro lado, aquellas que demandan el rediseño de los instrumentos utilizados por la política económica y social estatal para elevar la competitividad de las diferentes circunscripciones. De acuerdo con los niveles identificados en el territorio </w:t>
      </w:r>
      <w:r w:rsidR="00FB73A2" w:rsidRPr="00DB36F0">
        <w:rPr>
          <w:rFonts w:ascii="Times New Roman" w:hAnsi="Times New Roman" w:cs="Times New Roman"/>
          <w:bCs/>
          <w:sz w:val="24"/>
          <w:szCs w:val="24"/>
        </w:rPr>
        <w:lastRenderedPageBreak/>
        <w:t>guerrerense, este tipo de acciones apremian, pues se halló que 77</w:t>
      </w:r>
      <w:r w:rsidR="00B315B3">
        <w:rPr>
          <w:rFonts w:ascii="Times New Roman" w:hAnsi="Times New Roman" w:cs="Times New Roman"/>
          <w:bCs/>
          <w:sz w:val="24"/>
          <w:szCs w:val="24"/>
        </w:rPr>
        <w:t xml:space="preserve"> </w:t>
      </w:r>
      <w:r w:rsidR="00FB73A2" w:rsidRPr="00DB36F0">
        <w:rPr>
          <w:rFonts w:ascii="Times New Roman" w:hAnsi="Times New Roman" w:cs="Times New Roman"/>
          <w:bCs/>
          <w:sz w:val="24"/>
          <w:szCs w:val="24"/>
        </w:rPr>
        <w:t xml:space="preserve">% de los municipios manifestaron asimilación económica mínima. </w:t>
      </w:r>
    </w:p>
    <w:p w:rsidR="00FB73A2" w:rsidRPr="00DB36F0" w:rsidRDefault="002953E8" w:rsidP="00DB36F0">
      <w:pPr>
        <w:spacing w:line="360" w:lineRule="auto"/>
        <w:jc w:val="both"/>
        <w:rPr>
          <w:rFonts w:ascii="Times New Roman" w:hAnsi="Times New Roman" w:cs="Times New Roman"/>
          <w:bCs/>
          <w:sz w:val="24"/>
          <w:szCs w:val="24"/>
        </w:rPr>
      </w:pPr>
      <w:r w:rsidRPr="00DB36F0">
        <w:rPr>
          <w:rFonts w:ascii="Times New Roman" w:hAnsi="Times New Roman" w:cs="Times New Roman"/>
          <w:bCs/>
          <w:sz w:val="24"/>
          <w:szCs w:val="24"/>
        </w:rPr>
        <w:t>L</w:t>
      </w:r>
      <w:r w:rsidR="00FB73A2" w:rsidRPr="00DB36F0">
        <w:rPr>
          <w:rFonts w:ascii="Times New Roman" w:hAnsi="Times New Roman" w:cs="Times New Roman"/>
          <w:bCs/>
          <w:sz w:val="24"/>
          <w:szCs w:val="24"/>
        </w:rPr>
        <w:t>a tipología revelada, como suele ocurrir en las investigaciones de corte geográfico-estadístico que recurren a los municipios como unidad de análisis, brinda una imagen general de la cobertura espacial de las características socioec</w:t>
      </w:r>
      <w:r w:rsidR="00EA1E1A" w:rsidRPr="00DB36F0">
        <w:rPr>
          <w:rFonts w:ascii="Times New Roman" w:hAnsi="Times New Roman" w:cs="Times New Roman"/>
          <w:bCs/>
          <w:sz w:val="24"/>
          <w:szCs w:val="24"/>
        </w:rPr>
        <w:t>onómicas que expresa cada nivel</w:t>
      </w:r>
      <w:r w:rsidR="00FB73A2" w:rsidRPr="00DB36F0">
        <w:rPr>
          <w:rFonts w:ascii="Times New Roman" w:hAnsi="Times New Roman" w:cs="Times New Roman"/>
          <w:bCs/>
          <w:sz w:val="24"/>
          <w:szCs w:val="24"/>
        </w:rPr>
        <w:t xml:space="preserve"> de asimilación económica</w:t>
      </w:r>
      <w:r w:rsidR="00EA1E1A" w:rsidRPr="00DB36F0">
        <w:rPr>
          <w:rFonts w:ascii="Times New Roman" w:hAnsi="Times New Roman" w:cs="Times New Roman"/>
          <w:bCs/>
          <w:sz w:val="24"/>
          <w:szCs w:val="24"/>
        </w:rPr>
        <w:t xml:space="preserve">. </w:t>
      </w:r>
      <w:r w:rsidRPr="00DB36F0">
        <w:rPr>
          <w:rFonts w:ascii="Times New Roman" w:hAnsi="Times New Roman" w:cs="Times New Roman"/>
          <w:bCs/>
          <w:sz w:val="24"/>
          <w:szCs w:val="24"/>
        </w:rPr>
        <w:t>En ese sentido, e</w:t>
      </w:r>
      <w:r w:rsidR="00EA1E1A" w:rsidRPr="00DB36F0">
        <w:rPr>
          <w:rFonts w:ascii="Times New Roman" w:hAnsi="Times New Roman" w:cs="Times New Roman"/>
          <w:bCs/>
          <w:sz w:val="24"/>
          <w:szCs w:val="24"/>
        </w:rPr>
        <w:t>l contenido de la cartografía</w:t>
      </w:r>
      <w:r w:rsidRPr="00DB36F0">
        <w:rPr>
          <w:rFonts w:ascii="Times New Roman" w:hAnsi="Times New Roman" w:cs="Times New Roman"/>
          <w:bCs/>
          <w:sz w:val="24"/>
          <w:szCs w:val="24"/>
        </w:rPr>
        <w:t xml:space="preserve"> presentada</w:t>
      </w:r>
      <w:r w:rsidR="00EA1E1A" w:rsidRPr="00DB36F0">
        <w:rPr>
          <w:rFonts w:ascii="Times New Roman" w:hAnsi="Times New Roman" w:cs="Times New Roman"/>
          <w:bCs/>
          <w:sz w:val="24"/>
          <w:szCs w:val="24"/>
        </w:rPr>
        <w:t xml:space="preserve"> resume</w:t>
      </w:r>
      <w:r w:rsidR="00FB73A2" w:rsidRPr="00DB36F0">
        <w:rPr>
          <w:rFonts w:ascii="Times New Roman" w:hAnsi="Times New Roman" w:cs="Times New Roman"/>
          <w:bCs/>
          <w:sz w:val="24"/>
          <w:szCs w:val="24"/>
        </w:rPr>
        <w:t xml:space="preserve"> los patrones territoriales derivados de la ponderació</w:t>
      </w:r>
      <w:r w:rsidR="00EA1E1A" w:rsidRPr="00DB36F0">
        <w:rPr>
          <w:rFonts w:ascii="Times New Roman" w:hAnsi="Times New Roman" w:cs="Times New Roman"/>
          <w:bCs/>
          <w:sz w:val="24"/>
          <w:szCs w:val="24"/>
        </w:rPr>
        <w:t>n de la categoría abordada en esta inve</w:t>
      </w:r>
      <w:r w:rsidRPr="00DB36F0">
        <w:rPr>
          <w:rFonts w:ascii="Times New Roman" w:hAnsi="Times New Roman" w:cs="Times New Roman"/>
          <w:bCs/>
          <w:sz w:val="24"/>
          <w:szCs w:val="24"/>
        </w:rPr>
        <w:t>stigación;</w:t>
      </w:r>
      <w:r w:rsidR="00EA1E1A" w:rsidRPr="00DB36F0">
        <w:rPr>
          <w:rFonts w:ascii="Times New Roman" w:hAnsi="Times New Roman" w:cs="Times New Roman"/>
          <w:bCs/>
          <w:sz w:val="24"/>
          <w:szCs w:val="24"/>
        </w:rPr>
        <w:t xml:space="preserve"> </w:t>
      </w:r>
      <w:r w:rsidRPr="00DB36F0">
        <w:rPr>
          <w:rFonts w:ascii="Times New Roman" w:hAnsi="Times New Roman" w:cs="Times New Roman"/>
          <w:bCs/>
          <w:sz w:val="24"/>
          <w:szCs w:val="24"/>
        </w:rPr>
        <w:t xml:space="preserve">no obstante, </w:t>
      </w:r>
      <w:r w:rsidR="00FB73A2" w:rsidRPr="00DB36F0">
        <w:rPr>
          <w:rFonts w:ascii="Times New Roman" w:hAnsi="Times New Roman" w:cs="Times New Roman"/>
          <w:bCs/>
          <w:sz w:val="24"/>
          <w:szCs w:val="24"/>
        </w:rPr>
        <w:t>un diagnóstico más preciso de la configuración económic</w:t>
      </w:r>
      <w:r w:rsidR="00EA1E1A" w:rsidRPr="00DB36F0">
        <w:rPr>
          <w:rFonts w:ascii="Times New Roman" w:hAnsi="Times New Roman" w:cs="Times New Roman"/>
          <w:bCs/>
          <w:sz w:val="24"/>
          <w:szCs w:val="24"/>
        </w:rPr>
        <w:t>o-productiva municipal requiere d</w:t>
      </w:r>
      <w:r w:rsidR="00FB73A2" w:rsidRPr="00DB36F0">
        <w:rPr>
          <w:rFonts w:ascii="Times New Roman" w:hAnsi="Times New Roman" w:cs="Times New Roman"/>
          <w:bCs/>
          <w:sz w:val="24"/>
          <w:szCs w:val="24"/>
        </w:rPr>
        <w:t>el análisis de las características físicas y la conformación histórica estatal, así como el escena</w:t>
      </w:r>
      <w:r w:rsidR="00EA1E1A" w:rsidRPr="00DB36F0">
        <w:rPr>
          <w:rFonts w:ascii="Times New Roman" w:hAnsi="Times New Roman" w:cs="Times New Roman"/>
          <w:bCs/>
          <w:sz w:val="24"/>
          <w:szCs w:val="24"/>
        </w:rPr>
        <w:t>rio social contemporáneo</w:t>
      </w:r>
      <w:r w:rsidR="00FB73A2" w:rsidRPr="00DB36F0">
        <w:rPr>
          <w:rFonts w:ascii="Times New Roman" w:hAnsi="Times New Roman" w:cs="Times New Roman"/>
          <w:bCs/>
          <w:sz w:val="24"/>
          <w:szCs w:val="24"/>
        </w:rPr>
        <w:t>. Así, como apuntan los especialistas en esta vertiente de</w:t>
      </w:r>
      <w:r w:rsidRPr="00DB36F0">
        <w:rPr>
          <w:rFonts w:ascii="Times New Roman" w:hAnsi="Times New Roman" w:cs="Times New Roman"/>
          <w:bCs/>
          <w:sz w:val="24"/>
          <w:szCs w:val="24"/>
        </w:rPr>
        <w:t xml:space="preserve"> la Geografía Económica, resulta</w:t>
      </w:r>
      <w:r w:rsidR="00FB73A2" w:rsidRPr="00DB36F0">
        <w:rPr>
          <w:rFonts w:ascii="Times New Roman" w:hAnsi="Times New Roman" w:cs="Times New Roman"/>
          <w:bCs/>
          <w:sz w:val="24"/>
          <w:szCs w:val="24"/>
        </w:rPr>
        <w:t xml:space="preserve"> crucial afinar los escenarios definidos por la tipificación probabilí</w:t>
      </w:r>
      <w:r w:rsidRPr="00DB36F0">
        <w:rPr>
          <w:rFonts w:ascii="Times New Roman" w:hAnsi="Times New Roman" w:cs="Times New Roman"/>
          <w:bCs/>
          <w:sz w:val="24"/>
          <w:szCs w:val="24"/>
        </w:rPr>
        <w:t xml:space="preserve">stica </w:t>
      </w:r>
      <w:r w:rsidR="00FB73A2" w:rsidRPr="00DB36F0">
        <w:rPr>
          <w:rFonts w:ascii="Times New Roman" w:hAnsi="Times New Roman" w:cs="Times New Roman"/>
          <w:bCs/>
          <w:sz w:val="24"/>
          <w:szCs w:val="24"/>
        </w:rPr>
        <w:t>mediante la consulta de un cúmulo de fuentes complementarias de información de suma relevancia por su tratamiento de la realidad espacial, aunque limitadas en cuanto a su carácter cuantitativo.</w:t>
      </w:r>
    </w:p>
    <w:p w:rsidR="00902FED" w:rsidRDefault="003B4636" w:rsidP="00DB36F0">
      <w:pPr>
        <w:spacing w:line="360" w:lineRule="auto"/>
        <w:jc w:val="both"/>
        <w:rPr>
          <w:rFonts w:ascii="Times New Roman" w:hAnsi="Times New Roman" w:cs="Times New Roman"/>
          <w:b/>
          <w:bCs/>
          <w:sz w:val="24"/>
          <w:szCs w:val="24"/>
        </w:rPr>
      </w:pPr>
      <w:r w:rsidRPr="00DB36F0">
        <w:rPr>
          <w:rFonts w:ascii="Times New Roman" w:hAnsi="Times New Roman" w:cs="Times New Roman"/>
          <w:b/>
          <w:bCs/>
          <w:sz w:val="24"/>
          <w:szCs w:val="24"/>
        </w:rPr>
        <w:t>Conclusiones</w:t>
      </w:r>
    </w:p>
    <w:p w:rsidR="00E4249B" w:rsidRPr="00E4249B" w:rsidRDefault="00E4249B" w:rsidP="00E4249B">
      <w:pPr>
        <w:spacing w:line="360" w:lineRule="auto"/>
        <w:jc w:val="both"/>
        <w:rPr>
          <w:rFonts w:ascii="Times New Roman" w:hAnsi="Times New Roman" w:cs="Times New Roman"/>
          <w:bCs/>
          <w:sz w:val="24"/>
          <w:szCs w:val="24"/>
        </w:rPr>
      </w:pPr>
      <w:r w:rsidRPr="00E4249B">
        <w:rPr>
          <w:rFonts w:ascii="Times New Roman" w:hAnsi="Times New Roman" w:cs="Times New Roman"/>
          <w:bCs/>
          <w:sz w:val="24"/>
          <w:szCs w:val="24"/>
        </w:rPr>
        <w:t xml:space="preserve">El conjunto de elementos cognoscitivos revelado en esta investigación sobre el estado de Guerrero, derivado de la aplicación de la teoría de la asimilación económica del territorio, constituye una plataforma cognoscitiva cualitativo-cuantitativa útil para la dilucidación de los desequilibrios regionales que caracterizan a este espacio de la </w:t>
      </w:r>
      <w:r w:rsidR="006216B3">
        <w:rPr>
          <w:rFonts w:ascii="Times New Roman" w:hAnsi="Times New Roman" w:cs="Times New Roman"/>
          <w:bCs/>
          <w:sz w:val="24"/>
          <w:szCs w:val="24"/>
        </w:rPr>
        <w:t>r</w:t>
      </w:r>
      <w:r w:rsidRPr="00E4249B">
        <w:rPr>
          <w:rFonts w:ascii="Times New Roman" w:hAnsi="Times New Roman" w:cs="Times New Roman"/>
          <w:bCs/>
          <w:sz w:val="24"/>
          <w:szCs w:val="24"/>
        </w:rPr>
        <w:t xml:space="preserve">epública </w:t>
      </w:r>
      <w:r w:rsidR="006216B3">
        <w:rPr>
          <w:rFonts w:ascii="Times New Roman" w:hAnsi="Times New Roman" w:cs="Times New Roman"/>
          <w:bCs/>
          <w:sz w:val="24"/>
          <w:szCs w:val="24"/>
        </w:rPr>
        <w:t>m</w:t>
      </w:r>
      <w:r w:rsidRPr="00E4249B">
        <w:rPr>
          <w:rFonts w:ascii="Times New Roman" w:hAnsi="Times New Roman" w:cs="Times New Roman"/>
          <w:bCs/>
          <w:sz w:val="24"/>
          <w:szCs w:val="24"/>
        </w:rPr>
        <w:t>exicana desde hace siglos. Sin embargo, cabe destacar que es a partir de la segunda mitad del siglo XX cuando se agudizan las disparidades territoriales por la consolidación de Acapulco e Ixtapa-Zihuatanejo como importantes centros turísticos ya que, para lograrlo, los gobiernos estatal y nacional han invertido una parte substancial del erario en la creación de infraestructura, indispensable, para el desplazamiento, hospedaje y atención de los visitantes, así como en la promoción de ambos destinos vacacionales</w:t>
      </w:r>
      <w:r w:rsidR="00A51B99">
        <w:rPr>
          <w:rFonts w:ascii="Times New Roman" w:hAnsi="Times New Roman" w:cs="Times New Roman"/>
          <w:bCs/>
          <w:sz w:val="24"/>
          <w:szCs w:val="24"/>
        </w:rPr>
        <w:t xml:space="preserve"> (García, Villerías y Tello, 2016)</w:t>
      </w:r>
      <w:r w:rsidRPr="00E4249B">
        <w:rPr>
          <w:rFonts w:ascii="Times New Roman" w:hAnsi="Times New Roman" w:cs="Times New Roman"/>
          <w:bCs/>
          <w:sz w:val="24"/>
          <w:szCs w:val="24"/>
        </w:rPr>
        <w:t xml:space="preserve">. </w:t>
      </w:r>
    </w:p>
    <w:p w:rsidR="00E4249B" w:rsidRPr="00E4249B" w:rsidRDefault="00E4249B" w:rsidP="00E4249B">
      <w:pPr>
        <w:spacing w:line="360" w:lineRule="auto"/>
        <w:jc w:val="both"/>
        <w:rPr>
          <w:rFonts w:ascii="Times New Roman" w:hAnsi="Times New Roman" w:cs="Times New Roman"/>
          <w:bCs/>
          <w:sz w:val="24"/>
          <w:szCs w:val="24"/>
        </w:rPr>
      </w:pPr>
      <w:r w:rsidRPr="00E4249B">
        <w:rPr>
          <w:rFonts w:ascii="Times New Roman" w:hAnsi="Times New Roman" w:cs="Times New Roman"/>
          <w:bCs/>
          <w:sz w:val="24"/>
          <w:szCs w:val="24"/>
        </w:rPr>
        <w:t xml:space="preserve">En tanto, la modernización del sector secundario y primario no ha tenido lugar por la falta de inversiones públicas y privadas, a pesar de que la entidad cuenta con diversas áreas con características tanto físicas como socioeconómicas que podrían favorecer la creación de distintos proyectos productivos y, por lo tanto, atenuar la falta de alternativas laborales y los problemas sociales asociados con ella. Por ejemplo, a través del establecimiento de agroindustrias en los </w:t>
      </w:r>
      <w:r w:rsidRPr="00E4249B">
        <w:rPr>
          <w:rFonts w:ascii="Times New Roman" w:hAnsi="Times New Roman" w:cs="Times New Roman"/>
          <w:bCs/>
          <w:sz w:val="24"/>
          <w:szCs w:val="24"/>
        </w:rPr>
        <w:lastRenderedPageBreak/>
        <w:t>municipios de San Marcos, Florencio Villareal, Ayutla, San Luis Acatlán, Marquelia, Copala, Cuajinicuilapa, situados en la Costa Chica; o en Huamuxtitlán y Alpoyeca, en La Montaña</w:t>
      </w:r>
      <w:r w:rsidR="00900319">
        <w:rPr>
          <w:rFonts w:ascii="Times New Roman" w:hAnsi="Times New Roman" w:cs="Times New Roman"/>
          <w:bCs/>
          <w:sz w:val="24"/>
          <w:szCs w:val="24"/>
        </w:rPr>
        <w:t xml:space="preserve"> (García, 2011)</w:t>
      </w:r>
      <w:r w:rsidRPr="00E4249B">
        <w:rPr>
          <w:rFonts w:ascii="Times New Roman" w:hAnsi="Times New Roman" w:cs="Times New Roman"/>
          <w:bCs/>
          <w:sz w:val="24"/>
          <w:szCs w:val="24"/>
        </w:rPr>
        <w:t xml:space="preserve">. </w:t>
      </w:r>
    </w:p>
    <w:p w:rsidR="00E4249B" w:rsidRDefault="00FE372D" w:rsidP="00DB36F0">
      <w:pPr>
        <w:spacing w:line="360" w:lineRule="auto"/>
        <w:jc w:val="both"/>
        <w:rPr>
          <w:rFonts w:ascii="Times New Roman" w:hAnsi="Times New Roman" w:cs="Times New Roman"/>
          <w:sz w:val="24"/>
          <w:szCs w:val="24"/>
        </w:rPr>
      </w:pPr>
      <w:r w:rsidRPr="00FE372D">
        <w:rPr>
          <w:rFonts w:ascii="Times New Roman" w:hAnsi="Times New Roman" w:cs="Times New Roman"/>
          <w:sz w:val="24"/>
          <w:szCs w:val="24"/>
        </w:rPr>
        <w:t>Finalmente, los</w:t>
      </w:r>
      <w:r>
        <w:rPr>
          <w:rFonts w:ascii="Times New Roman" w:hAnsi="Times New Roman" w:cs="Times New Roman"/>
          <w:sz w:val="24"/>
          <w:szCs w:val="24"/>
        </w:rPr>
        <w:t xml:space="preserve"> niveles de asimilación económica</w:t>
      </w:r>
      <w:r w:rsidRPr="00FE372D">
        <w:rPr>
          <w:rFonts w:ascii="Times New Roman" w:hAnsi="Times New Roman" w:cs="Times New Roman"/>
          <w:sz w:val="24"/>
          <w:szCs w:val="24"/>
        </w:rPr>
        <w:t xml:space="preserve"> hallados en Guerrero dieron pauta para inferir que, en los próximos decenios, es p</w:t>
      </w:r>
      <w:r>
        <w:rPr>
          <w:rFonts w:ascii="Times New Roman" w:hAnsi="Times New Roman" w:cs="Times New Roman"/>
          <w:sz w:val="24"/>
          <w:szCs w:val="24"/>
        </w:rPr>
        <w:t xml:space="preserve">robable que continúe la tercerización de </w:t>
      </w:r>
      <w:r w:rsidRPr="00FE372D">
        <w:rPr>
          <w:rFonts w:ascii="Times New Roman" w:hAnsi="Times New Roman" w:cs="Times New Roman"/>
          <w:sz w:val="24"/>
          <w:szCs w:val="24"/>
        </w:rPr>
        <w:t xml:space="preserve">los municipios de Acapulco, Zihuatanejo de Azueta y Chilpancingo. Asimismo, el comercio y los servicios podrían consolidarse como la principal fuente de trabajo de la PEA, especialmente en aquellas demarcaciones que albergan a las ciudades guerrerenses y en las jurisdicciones de la costa donde se ubicará el corredor turístico Acapulco-Zihuatanejo u otros proyectos de ese tipo. Por otro lado, en San Luis Acatlán, Metlatónoc, Tlacoapa, Atlamajalcingo del Monte, Malinaltepec, Acatepec y Zapotitlán Tablas podría diversificarse la estructura sectorial por el arribo inminente de compañías mineras, un acontecimiento que detonará la contaminación y destrucción del entorno físico de La Montaña y la porción serrana de la Costa Chica, así como distintos conflictos sociales debido a la expropiación de varios ejidos de esas regiones. </w:t>
      </w: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08671D" w:rsidRDefault="0008671D" w:rsidP="00DB36F0">
      <w:pPr>
        <w:spacing w:line="360" w:lineRule="auto"/>
        <w:jc w:val="both"/>
        <w:rPr>
          <w:rFonts w:ascii="Calibri" w:eastAsia="SimSun" w:hAnsi="Calibri" w:cs="Arial"/>
          <w:color w:val="7030A0"/>
          <w:sz w:val="28"/>
          <w:szCs w:val="24"/>
          <w:lang w:val="es-ES" w:eastAsia="zh-CN"/>
        </w:rPr>
      </w:pPr>
    </w:p>
    <w:p w:rsidR="00B62CB6" w:rsidRPr="0008671D" w:rsidRDefault="0008671D" w:rsidP="00DB36F0">
      <w:pPr>
        <w:spacing w:line="360" w:lineRule="auto"/>
        <w:jc w:val="both"/>
        <w:rPr>
          <w:rFonts w:ascii="Calibri" w:eastAsia="SimSun" w:hAnsi="Calibri" w:cs="Arial"/>
          <w:color w:val="7030A0"/>
          <w:sz w:val="28"/>
          <w:szCs w:val="24"/>
          <w:lang w:val="es-ES" w:eastAsia="zh-CN"/>
        </w:rPr>
      </w:pPr>
      <w:r w:rsidRPr="0008671D">
        <w:rPr>
          <w:rFonts w:ascii="Calibri" w:eastAsia="SimSun" w:hAnsi="Calibri" w:cs="Arial"/>
          <w:color w:val="7030A0"/>
          <w:sz w:val="28"/>
          <w:szCs w:val="24"/>
          <w:lang w:val="es-ES" w:eastAsia="zh-CN"/>
        </w:rPr>
        <w:lastRenderedPageBreak/>
        <w:t>Bibliografía</w:t>
      </w:r>
    </w:p>
    <w:p w:rsidR="00923420" w:rsidRDefault="00923420"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 xml:space="preserve">Aguilar, R. (2013). </w:t>
      </w:r>
      <w:r w:rsidRPr="00923420">
        <w:rPr>
          <w:rFonts w:ascii="Times New Roman" w:hAnsi="Times New Roman" w:cs="Times New Roman"/>
          <w:bCs/>
          <w:i/>
          <w:sz w:val="24"/>
          <w:szCs w:val="24"/>
        </w:rPr>
        <w:t>Niveles de asimilación económica del territorio en Baja California Sur.</w:t>
      </w:r>
      <w:r w:rsidRPr="00923420">
        <w:rPr>
          <w:rFonts w:ascii="Times New Roman" w:hAnsi="Times New Roman" w:cs="Times New Roman"/>
          <w:bCs/>
          <w:sz w:val="24"/>
          <w:szCs w:val="24"/>
        </w:rPr>
        <w:t xml:space="preserve"> (Licenciatura en Geografía)</w:t>
      </w:r>
      <w:r w:rsidRPr="00923420">
        <w:rPr>
          <w:rFonts w:ascii="Times New Roman" w:hAnsi="Times New Roman" w:cs="Times New Roman"/>
          <w:bCs/>
          <w:i/>
          <w:sz w:val="24"/>
          <w:szCs w:val="24"/>
        </w:rPr>
        <w:t>.</w:t>
      </w:r>
      <w:r w:rsidRPr="00923420">
        <w:rPr>
          <w:rFonts w:ascii="Times New Roman" w:hAnsi="Times New Roman" w:cs="Times New Roman"/>
          <w:bCs/>
          <w:sz w:val="24"/>
          <w:szCs w:val="24"/>
        </w:rPr>
        <w:t xml:space="preserve"> Facultad de Filosofía y Letras, UNAM. México.</w:t>
      </w:r>
    </w:p>
    <w:p w:rsidR="0008671D" w:rsidRPr="00923420" w:rsidRDefault="0008671D"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 xml:space="preserve">CONEVAL (2016). </w:t>
      </w:r>
      <w:r w:rsidRPr="00923420">
        <w:rPr>
          <w:rFonts w:ascii="Times New Roman" w:hAnsi="Times New Roman" w:cs="Times New Roman"/>
          <w:bCs/>
          <w:i/>
          <w:sz w:val="24"/>
          <w:szCs w:val="24"/>
        </w:rPr>
        <w:t>Rezago social a nivel zonas urbanas (AGEB urbanas)</w:t>
      </w:r>
      <w:r w:rsidRPr="00923420">
        <w:rPr>
          <w:rFonts w:ascii="Times New Roman" w:hAnsi="Times New Roman" w:cs="Times New Roman"/>
          <w:bCs/>
          <w:sz w:val="24"/>
          <w:szCs w:val="24"/>
        </w:rPr>
        <w:t xml:space="preserve">. Recuperado de: </w:t>
      </w:r>
      <w:hyperlink r:id="rId14" w:history="1">
        <w:r w:rsidRPr="00E04A04">
          <w:rPr>
            <w:rStyle w:val="Hipervnculo"/>
            <w:rFonts w:ascii="Times New Roman" w:hAnsi="Times New Roman" w:cs="Times New Roman"/>
            <w:bCs/>
            <w:sz w:val="24"/>
            <w:szCs w:val="24"/>
          </w:rPr>
          <w:t>http://www.coneval.gob.mx/Medicion/Paginas/Rezago_social_AGEB_2010.aspx</w:t>
        </w:r>
      </w:hyperlink>
    </w:p>
    <w:p w:rsidR="00923420" w:rsidRPr="00923420" w:rsidRDefault="00923420"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 xml:space="preserve">García, N. (2011). </w:t>
      </w:r>
      <w:r w:rsidRPr="00923420">
        <w:rPr>
          <w:rFonts w:ascii="Times New Roman" w:hAnsi="Times New Roman" w:cs="Times New Roman"/>
          <w:bCs/>
          <w:i/>
          <w:sz w:val="24"/>
          <w:szCs w:val="24"/>
        </w:rPr>
        <w:t xml:space="preserve">Los grados de asimilación económica del estado de Guerrero, a fines del siglo XX. </w:t>
      </w:r>
      <w:r w:rsidRPr="00923420">
        <w:rPr>
          <w:rFonts w:ascii="Times New Roman" w:hAnsi="Times New Roman" w:cs="Times New Roman"/>
          <w:bCs/>
          <w:sz w:val="24"/>
          <w:szCs w:val="24"/>
        </w:rPr>
        <w:t xml:space="preserve">(Doctorado en Geografía). Facultad de Filosofía y Letras, UNAM. México. </w:t>
      </w:r>
    </w:p>
    <w:p w:rsidR="00923420" w:rsidRDefault="00923420"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García, N., Villerías, S. y P. V. Tello (2015). Turismo y orientaciones sectoriales de los municipios costeros de Guerrero. En: Patrimonio, turismo y algo más…</w:t>
      </w:r>
      <w:r w:rsidR="004B36D2">
        <w:rPr>
          <w:rFonts w:ascii="Times New Roman" w:hAnsi="Times New Roman" w:cs="Times New Roman"/>
          <w:bCs/>
          <w:sz w:val="24"/>
          <w:szCs w:val="24"/>
        </w:rPr>
        <w:t xml:space="preserve"> </w:t>
      </w:r>
      <w:r w:rsidRPr="00923420">
        <w:rPr>
          <w:rFonts w:ascii="Times New Roman" w:hAnsi="Times New Roman" w:cs="Times New Roman"/>
          <w:bCs/>
          <w:sz w:val="24"/>
          <w:szCs w:val="24"/>
        </w:rPr>
        <w:t>México. Juan Pablos Editor-Universidad Autónoma de Guerrero.</w:t>
      </w:r>
    </w:p>
    <w:p w:rsidR="0008671D" w:rsidRDefault="0008671D" w:rsidP="0008671D">
      <w:pPr>
        <w:autoSpaceDE w:val="0"/>
        <w:autoSpaceDN w:val="0"/>
        <w:adjustRightInd w:val="0"/>
        <w:spacing w:line="360" w:lineRule="auto"/>
        <w:ind w:left="709" w:hanging="709"/>
        <w:jc w:val="both"/>
        <w:rPr>
          <w:rFonts w:ascii="Times New Roman" w:hAnsi="Times New Roman" w:cs="Times New Roman"/>
          <w:bCs/>
          <w:iCs/>
          <w:sz w:val="24"/>
          <w:szCs w:val="24"/>
        </w:rPr>
      </w:pPr>
      <w:r w:rsidRPr="00923420">
        <w:rPr>
          <w:rFonts w:ascii="Times New Roman" w:hAnsi="Times New Roman" w:cs="Times New Roman"/>
          <w:bCs/>
          <w:sz w:val="24"/>
          <w:szCs w:val="24"/>
        </w:rPr>
        <w:t xml:space="preserve">García, A. (1993). Asimilación económica del territorio (un nuevo enfoque en la interpretación regional del país). En </w:t>
      </w:r>
      <w:r w:rsidRPr="00923420">
        <w:rPr>
          <w:rFonts w:ascii="Times New Roman" w:hAnsi="Times New Roman" w:cs="Times New Roman"/>
          <w:bCs/>
          <w:i/>
          <w:iCs/>
          <w:sz w:val="24"/>
          <w:szCs w:val="24"/>
        </w:rPr>
        <w:t>Investigaciones Geográficas</w:t>
      </w:r>
      <w:r w:rsidRPr="00923420">
        <w:rPr>
          <w:rFonts w:ascii="Times New Roman" w:hAnsi="Times New Roman" w:cs="Times New Roman"/>
          <w:bCs/>
          <w:sz w:val="24"/>
          <w:szCs w:val="24"/>
        </w:rPr>
        <w:t xml:space="preserve">. </w:t>
      </w:r>
      <w:r w:rsidRPr="00923420">
        <w:rPr>
          <w:rFonts w:ascii="Times New Roman" w:hAnsi="Times New Roman" w:cs="Times New Roman"/>
          <w:bCs/>
          <w:i/>
          <w:iCs/>
          <w:sz w:val="24"/>
          <w:szCs w:val="24"/>
        </w:rPr>
        <w:t>Boletín núm. 27,</w:t>
      </w:r>
      <w:r w:rsidRPr="00923420">
        <w:rPr>
          <w:rFonts w:ascii="Times New Roman" w:hAnsi="Times New Roman" w:cs="Times New Roman"/>
          <w:bCs/>
          <w:iCs/>
          <w:sz w:val="24"/>
          <w:szCs w:val="24"/>
        </w:rPr>
        <w:t xml:space="preserve"> 69-94</w:t>
      </w:r>
      <w:r w:rsidRPr="00923420">
        <w:rPr>
          <w:rFonts w:ascii="Times New Roman" w:hAnsi="Times New Roman" w:cs="Times New Roman"/>
          <w:bCs/>
          <w:i/>
          <w:iCs/>
          <w:sz w:val="24"/>
          <w:szCs w:val="24"/>
        </w:rPr>
        <w:t xml:space="preserve">. </w:t>
      </w:r>
      <w:r w:rsidRPr="00923420">
        <w:rPr>
          <w:rFonts w:ascii="Times New Roman" w:hAnsi="Times New Roman" w:cs="Times New Roman"/>
          <w:bCs/>
          <w:iCs/>
          <w:sz w:val="24"/>
          <w:szCs w:val="24"/>
        </w:rPr>
        <w:t>Recuperado de:</w:t>
      </w:r>
      <w:r w:rsidRPr="00923420">
        <w:rPr>
          <w:sz w:val="24"/>
          <w:szCs w:val="24"/>
        </w:rPr>
        <w:t xml:space="preserve"> </w:t>
      </w:r>
      <w:hyperlink r:id="rId15" w:history="1">
        <w:r w:rsidRPr="00E04A04">
          <w:rPr>
            <w:rStyle w:val="Hipervnculo"/>
            <w:rFonts w:ascii="Times New Roman" w:hAnsi="Times New Roman" w:cs="Times New Roman"/>
            <w:bCs/>
            <w:iCs/>
            <w:sz w:val="24"/>
            <w:szCs w:val="24"/>
          </w:rPr>
          <w:t>http://www.scielo.org.mx/pdf/igeo/n27/n27a3.pdf</w:t>
        </w:r>
      </w:hyperlink>
    </w:p>
    <w:p w:rsidR="0008671D" w:rsidRPr="00923420" w:rsidRDefault="0008671D" w:rsidP="0008671D">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 xml:space="preserve">Gobierno del estado de Guerrero (2016). </w:t>
      </w:r>
      <w:r w:rsidRPr="00923420">
        <w:rPr>
          <w:rFonts w:ascii="Times New Roman" w:hAnsi="Times New Roman" w:cs="Times New Roman"/>
          <w:bCs/>
          <w:i/>
          <w:iCs/>
          <w:sz w:val="24"/>
          <w:szCs w:val="24"/>
        </w:rPr>
        <w:t xml:space="preserve">Municipios del estado de Guerrero. </w:t>
      </w:r>
      <w:r w:rsidRPr="00923420">
        <w:rPr>
          <w:rFonts w:ascii="Times New Roman" w:hAnsi="Times New Roman" w:cs="Times New Roman"/>
          <w:bCs/>
          <w:sz w:val="24"/>
          <w:szCs w:val="24"/>
        </w:rPr>
        <w:t xml:space="preserve">Gobierno del estado de Guerrero. Recuperado de: </w:t>
      </w:r>
      <w:hyperlink r:id="rId16" w:history="1">
        <w:r w:rsidRPr="00E04A04">
          <w:rPr>
            <w:rStyle w:val="Hipervnculo"/>
            <w:rFonts w:ascii="Times New Roman" w:hAnsi="Times New Roman" w:cs="Times New Roman"/>
            <w:bCs/>
            <w:sz w:val="24"/>
            <w:szCs w:val="24"/>
          </w:rPr>
          <w:t>http://www.guerrero.gob.mx/?P=municipios</w:t>
        </w:r>
      </w:hyperlink>
    </w:p>
    <w:p w:rsidR="00923420" w:rsidRDefault="00923420"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bCs/>
          <w:sz w:val="24"/>
          <w:szCs w:val="24"/>
        </w:rPr>
        <w:t xml:space="preserve">Hernández, R. (2007). </w:t>
      </w:r>
      <w:r w:rsidRPr="00923420">
        <w:rPr>
          <w:rFonts w:ascii="Times New Roman" w:hAnsi="Times New Roman" w:cs="Times New Roman"/>
          <w:bCs/>
          <w:i/>
          <w:sz w:val="24"/>
          <w:szCs w:val="24"/>
        </w:rPr>
        <w:t xml:space="preserve">Niveles de asimilación económica del Estado de México </w:t>
      </w:r>
      <w:r w:rsidRPr="00923420">
        <w:rPr>
          <w:rFonts w:ascii="Times New Roman" w:hAnsi="Times New Roman" w:cs="Times New Roman"/>
          <w:bCs/>
          <w:sz w:val="24"/>
          <w:szCs w:val="24"/>
        </w:rPr>
        <w:t>(Licenciatura en Geografía). Facultad de Filosofía y Letras, UNAM. México.</w:t>
      </w:r>
    </w:p>
    <w:p w:rsidR="0008671D" w:rsidRPr="00923420" w:rsidRDefault="0008671D" w:rsidP="00923420">
      <w:pPr>
        <w:autoSpaceDE w:val="0"/>
        <w:autoSpaceDN w:val="0"/>
        <w:adjustRightInd w:val="0"/>
        <w:spacing w:line="360" w:lineRule="auto"/>
        <w:ind w:left="709" w:hanging="709"/>
        <w:jc w:val="both"/>
        <w:rPr>
          <w:rFonts w:ascii="Times New Roman" w:hAnsi="Times New Roman" w:cs="Times New Roman"/>
          <w:bCs/>
          <w:sz w:val="24"/>
          <w:szCs w:val="24"/>
        </w:rPr>
      </w:pPr>
      <w:r w:rsidRPr="00923420">
        <w:rPr>
          <w:rFonts w:ascii="Times New Roman" w:hAnsi="Times New Roman" w:cs="Times New Roman"/>
          <w:sz w:val="24"/>
          <w:szCs w:val="24"/>
        </w:rPr>
        <w:t xml:space="preserve">INEGI (2016). </w:t>
      </w:r>
      <w:r w:rsidRPr="00923420">
        <w:rPr>
          <w:rFonts w:ascii="Times New Roman" w:hAnsi="Times New Roman" w:cs="Times New Roman"/>
          <w:i/>
          <w:sz w:val="24"/>
          <w:szCs w:val="24"/>
        </w:rPr>
        <w:t>Sistema Estatal y Municipal de Base de Datos.</w:t>
      </w:r>
      <w:r w:rsidRPr="00923420">
        <w:rPr>
          <w:rFonts w:ascii="Times New Roman" w:hAnsi="Times New Roman" w:cs="Times New Roman"/>
          <w:sz w:val="24"/>
          <w:szCs w:val="24"/>
        </w:rPr>
        <w:t xml:space="preserve"> Recuperado de: </w:t>
      </w:r>
      <w:hyperlink r:id="rId17" w:history="1">
        <w:r w:rsidRPr="00923420">
          <w:rPr>
            <w:rFonts w:ascii="Times New Roman" w:hAnsi="Times New Roman" w:cs="Times New Roman"/>
            <w:sz w:val="24"/>
            <w:szCs w:val="24"/>
          </w:rPr>
          <w:t>http://sc.inegi.org.mx/cobdem/</w:t>
        </w:r>
      </w:hyperlink>
    </w:p>
    <w:p w:rsidR="00923420" w:rsidRDefault="00923420" w:rsidP="00923420">
      <w:pPr>
        <w:spacing w:line="360" w:lineRule="auto"/>
        <w:ind w:left="709" w:hanging="709"/>
        <w:jc w:val="both"/>
        <w:rPr>
          <w:rFonts w:ascii="Times New Roman" w:hAnsi="Times New Roman" w:cs="Times New Roman"/>
          <w:sz w:val="24"/>
          <w:szCs w:val="24"/>
        </w:rPr>
      </w:pPr>
      <w:r w:rsidRPr="00923420">
        <w:rPr>
          <w:rFonts w:ascii="Times New Roman" w:hAnsi="Times New Roman" w:cs="Times New Roman"/>
          <w:sz w:val="24"/>
          <w:szCs w:val="24"/>
        </w:rPr>
        <w:t>Mollinedo, G. (2008).</w:t>
      </w:r>
      <w:r w:rsidRPr="00923420">
        <w:rPr>
          <w:rFonts w:ascii="Times New Roman" w:hAnsi="Times New Roman" w:cs="Times New Roman"/>
          <w:i/>
          <w:sz w:val="24"/>
          <w:szCs w:val="24"/>
        </w:rPr>
        <w:t xml:space="preserve"> Niveles de asimilación económica de Tamaulipas. </w:t>
      </w:r>
      <w:r w:rsidRPr="00923420">
        <w:rPr>
          <w:rFonts w:ascii="Times New Roman" w:hAnsi="Times New Roman" w:cs="Times New Roman"/>
          <w:sz w:val="24"/>
          <w:szCs w:val="24"/>
        </w:rPr>
        <w:t>(Licenciatura en Geografía). Facultad de Filosofía y Letras, UNAM. México.</w:t>
      </w:r>
    </w:p>
    <w:p w:rsidR="0008671D" w:rsidRPr="00923420" w:rsidRDefault="0008671D" w:rsidP="00923420">
      <w:pPr>
        <w:spacing w:line="360" w:lineRule="auto"/>
        <w:ind w:left="709" w:hanging="709"/>
        <w:jc w:val="both"/>
        <w:rPr>
          <w:rFonts w:ascii="Times New Roman" w:hAnsi="Times New Roman" w:cs="Times New Roman"/>
          <w:sz w:val="24"/>
          <w:szCs w:val="24"/>
        </w:rPr>
      </w:pPr>
      <w:r w:rsidRPr="00923420">
        <w:rPr>
          <w:rFonts w:ascii="Times New Roman" w:hAnsi="Times New Roman" w:cs="Times New Roman"/>
          <w:sz w:val="24"/>
          <w:szCs w:val="24"/>
        </w:rPr>
        <w:t xml:space="preserve">Ortiz, M. I., Villaseñor, A. y L. Gerónimo (2009). El empleo de la Tipificación Probabilística en aspectos sociodemográficos y su aplicación en el ordenamiento territorial mediante el uso de SIGs. En: </w:t>
      </w:r>
      <w:r w:rsidRPr="00923420">
        <w:rPr>
          <w:rFonts w:ascii="Times New Roman" w:hAnsi="Times New Roman" w:cs="Times New Roman"/>
          <w:i/>
          <w:sz w:val="24"/>
          <w:szCs w:val="24"/>
        </w:rPr>
        <w:t xml:space="preserve">Espaciotiempo 4 </w:t>
      </w:r>
      <w:r w:rsidRPr="00923420">
        <w:rPr>
          <w:rFonts w:ascii="Times New Roman" w:hAnsi="Times New Roman" w:cs="Times New Roman"/>
          <w:i/>
          <w:iCs/>
          <w:sz w:val="24"/>
          <w:szCs w:val="24"/>
        </w:rPr>
        <w:t>Revista Latinoamericana de Ciencias Sociales y Humanidades,</w:t>
      </w:r>
      <w:r w:rsidRPr="00923420">
        <w:rPr>
          <w:rFonts w:ascii="Times New Roman" w:hAnsi="Times New Roman" w:cs="Times New Roman"/>
          <w:iCs/>
          <w:sz w:val="24"/>
          <w:szCs w:val="24"/>
        </w:rPr>
        <w:t xml:space="preserve"> 76-91.</w:t>
      </w:r>
      <w:r w:rsidRPr="00923420">
        <w:rPr>
          <w:rFonts w:ascii="Times New Roman" w:hAnsi="Times New Roman" w:cs="Times New Roman"/>
          <w:i/>
          <w:iCs/>
          <w:sz w:val="24"/>
          <w:szCs w:val="24"/>
        </w:rPr>
        <w:t xml:space="preserve"> </w:t>
      </w:r>
      <w:r w:rsidRPr="00923420">
        <w:rPr>
          <w:rFonts w:ascii="Times New Roman" w:hAnsi="Times New Roman" w:cs="Times New Roman"/>
          <w:iCs/>
          <w:sz w:val="24"/>
          <w:szCs w:val="24"/>
        </w:rPr>
        <w:t xml:space="preserve">Recuperado de: </w:t>
      </w:r>
      <w:hyperlink r:id="rId18" w:history="1">
        <w:r w:rsidRPr="00E04A04">
          <w:rPr>
            <w:rStyle w:val="Hipervnculo"/>
            <w:rFonts w:ascii="Times New Roman" w:hAnsi="Times New Roman" w:cs="Times New Roman"/>
            <w:iCs/>
            <w:sz w:val="24"/>
            <w:szCs w:val="24"/>
          </w:rPr>
          <w:t>http://sociales.uaslp.mx/publicaciones/revistas</w:t>
        </w:r>
      </w:hyperlink>
    </w:p>
    <w:p w:rsidR="00923420" w:rsidRPr="00923420" w:rsidRDefault="00923420" w:rsidP="00923420">
      <w:pPr>
        <w:spacing w:line="360" w:lineRule="auto"/>
        <w:ind w:left="709" w:hanging="709"/>
        <w:jc w:val="both"/>
        <w:rPr>
          <w:rFonts w:ascii="Times New Roman" w:hAnsi="Times New Roman" w:cs="Times New Roman"/>
          <w:sz w:val="24"/>
          <w:szCs w:val="24"/>
        </w:rPr>
      </w:pPr>
      <w:r w:rsidRPr="00923420">
        <w:rPr>
          <w:rFonts w:ascii="Times New Roman" w:hAnsi="Times New Roman" w:cs="Times New Roman"/>
          <w:sz w:val="24"/>
          <w:szCs w:val="24"/>
        </w:rPr>
        <w:t xml:space="preserve">Privalovskaya, G. A. (1982). Regionalización del territorio de la URSS como método de estudio de la interacción entre la economía y el medio. En: </w:t>
      </w:r>
      <w:r w:rsidRPr="00923420">
        <w:rPr>
          <w:rFonts w:ascii="Times New Roman" w:hAnsi="Times New Roman" w:cs="Times New Roman"/>
          <w:i/>
          <w:iCs/>
          <w:sz w:val="24"/>
          <w:szCs w:val="24"/>
        </w:rPr>
        <w:t xml:space="preserve">Compilación temática del Instituto de </w:t>
      </w:r>
      <w:r w:rsidRPr="00923420">
        <w:rPr>
          <w:rFonts w:ascii="Times New Roman" w:hAnsi="Times New Roman" w:cs="Times New Roman"/>
          <w:i/>
          <w:iCs/>
          <w:sz w:val="24"/>
          <w:szCs w:val="24"/>
        </w:rPr>
        <w:lastRenderedPageBreak/>
        <w:t xml:space="preserve">Geografía de la URSS </w:t>
      </w:r>
      <w:r w:rsidRPr="00923420">
        <w:rPr>
          <w:rFonts w:ascii="Times New Roman" w:hAnsi="Times New Roman" w:cs="Times New Roman"/>
          <w:sz w:val="24"/>
          <w:szCs w:val="24"/>
        </w:rPr>
        <w:t>(traducción inédita). Archivo de traducciones del Instituto de Geografía Tropical. La Habana, Cuba.</w:t>
      </w:r>
    </w:p>
    <w:p w:rsidR="00923420" w:rsidRDefault="00923420" w:rsidP="00923420">
      <w:pPr>
        <w:spacing w:line="360" w:lineRule="auto"/>
        <w:ind w:left="709" w:hanging="709"/>
        <w:jc w:val="both"/>
        <w:rPr>
          <w:rFonts w:ascii="Times New Roman" w:hAnsi="Times New Roman" w:cs="Times New Roman"/>
          <w:sz w:val="24"/>
          <w:szCs w:val="24"/>
          <w:lang w:val="en-US"/>
        </w:rPr>
      </w:pPr>
      <w:r w:rsidRPr="00923420">
        <w:rPr>
          <w:rFonts w:ascii="Times New Roman" w:hAnsi="Times New Roman" w:cs="Times New Roman"/>
          <w:sz w:val="24"/>
          <w:szCs w:val="24"/>
        </w:rPr>
        <w:t xml:space="preserve">Propin, E. y R. Thürmer (1986). Un nuevo enfoque metodológico de la regionalización económica: su aplicación en la República de Cuba. </w:t>
      </w:r>
      <w:r w:rsidRPr="00923420">
        <w:rPr>
          <w:rFonts w:ascii="Times New Roman" w:hAnsi="Times New Roman" w:cs="Times New Roman"/>
          <w:i/>
          <w:iCs/>
          <w:sz w:val="24"/>
          <w:szCs w:val="24"/>
          <w:lang w:val="en-US"/>
        </w:rPr>
        <w:t xml:space="preserve">Wissenschaftliche Mitteilungen 18, </w:t>
      </w:r>
      <w:r w:rsidRPr="00923420">
        <w:rPr>
          <w:rFonts w:ascii="Times New Roman" w:hAnsi="Times New Roman" w:cs="Times New Roman"/>
          <w:iCs/>
          <w:sz w:val="24"/>
          <w:szCs w:val="24"/>
          <w:lang w:val="en-US"/>
        </w:rPr>
        <w:t>5-18.</w:t>
      </w:r>
      <w:r w:rsidRPr="00923420">
        <w:rPr>
          <w:rFonts w:ascii="Times New Roman" w:hAnsi="Times New Roman" w:cs="Times New Roman"/>
          <w:i/>
          <w:iCs/>
          <w:sz w:val="24"/>
          <w:szCs w:val="24"/>
          <w:lang w:val="en-US"/>
        </w:rPr>
        <w:t xml:space="preserve"> </w:t>
      </w:r>
      <w:r w:rsidRPr="00923420">
        <w:rPr>
          <w:rFonts w:ascii="Times New Roman" w:hAnsi="Times New Roman" w:cs="Times New Roman"/>
          <w:sz w:val="24"/>
          <w:szCs w:val="24"/>
          <w:lang w:val="en-US"/>
        </w:rPr>
        <w:t xml:space="preserve">Institut für Geographie und Geoecologie. Leipzig. </w:t>
      </w:r>
    </w:p>
    <w:p w:rsidR="0008671D" w:rsidRPr="00923420" w:rsidRDefault="0008671D" w:rsidP="00923420">
      <w:pPr>
        <w:spacing w:line="360" w:lineRule="auto"/>
        <w:ind w:left="709" w:hanging="709"/>
        <w:jc w:val="both"/>
        <w:rPr>
          <w:rFonts w:ascii="Times New Roman" w:hAnsi="Times New Roman" w:cs="Times New Roman"/>
          <w:sz w:val="24"/>
          <w:szCs w:val="24"/>
          <w:lang w:val="en-US"/>
        </w:rPr>
      </w:pPr>
      <w:r w:rsidRPr="00417F31">
        <w:rPr>
          <w:rFonts w:ascii="Times New Roman" w:hAnsi="Times New Roman" w:cs="Times New Roman"/>
          <w:sz w:val="24"/>
          <w:szCs w:val="24"/>
        </w:rPr>
        <w:t xml:space="preserve">Propin, E. y Á. Sánchez (1998). </w:t>
      </w:r>
      <w:r w:rsidRPr="00923420">
        <w:rPr>
          <w:rFonts w:ascii="Times New Roman" w:hAnsi="Times New Roman" w:cs="Times New Roman"/>
          <w:sz w:val="24"/>
          <w:szCs w:val="24"/>
        </w:rPr>
        <w:t xml:space="preserve">Niveles de asimilación económica del estado de Guerrero. </w:t>
      </w:r>
      <w:r w:rsidRPr="00923420">
        <w:rPr>
          <w:rFonts w:ascii="Times New Roman" w:hAnsi="Times New Roman" w:cs="Times New Roman"/>
          <w:i/>
          <w:iCs/>
          <w:sz w:val="24"/>
          <w:szCs w:val="24"/>
        </w:rPr>
        <w:t xml:space="preserve">Investigaciones Geográficas. Boletín núm. 37, </w:t>
      </w:r>
      <w:r w:rsidRPr="00923420">
        <w:rPr>
          <w:rFonts w:ascii="Times New Roman" w:hAnsi="Times New Roman" w:cs="Times New Roman"/>
          <w:iCs/>
          <w:sz w:val="24"/>
          <w:szCs w:val="24"/>
        </w:rPr>
        <w:t xml:space="preserve">59-70. Recuperado de: </w:t>
      </w:r>
      <w:hyperlink r:id="rId19" w:history="1">
        <w:r w:rsidRPr="00E04A04">
          <w:rPr>
            <w:rStyle w:val="Hipervnculo"/>
            <w:rFonts w:ascii="Times New Roman" w:hAnsi="Times New Roman" w:cs="Times New Roman"/>
            <w:iCs/>
            <w:sz w:val="24"/>
            <w:szCs w:val="24"/>
          </w:rPr>
          <w:t>http://www.scielo.org.mx/scielo.php?script=sci_arttext&amp;pid=S0188-46111998000300005</w:t>
        </w:r>
      </w:hyperlink>
    </w:p>
    <w:p w:rsidR="00923420" w:rsidRPr="00923420" w:rsidRDefault="00923420" w:rsidP="00923420">
      <w:pPr>
        <w:spacing w:line="360" w:lineRule="auto"/>
        <w:ind w:left="709" w:hanging="709"/>
        <w:jc w:val="both"/>
        <w:rPr>
          <w:rFonts w:ascii="Times New Roman" w:hAnsi="Times New Roman" w:cs="Times New Roman"/>
          <w:sz w:val="24"/>
          <w:szCs w:val="24"/>
        </w:rPr>
      </w:pPr>
      <w:r w:rsidRPr="00923420">
        <w:rPr>
          <w:rFonts w:ascii="Times New Roman" w:hAnsi="Times New Roman" w:cs="Times New Roman"/>
          <w:sz w:val="24"/>
          <w:szCs w:val="24"/>
        </w:rPr>
        <w:t xml:space="preserve">Unikel, L. (1978). </w:t>
      </w:r>
      <w:r w:rsidRPr="00923420">
        <w:rPr>
          <w:rFonts w:ascii="Times New Roman" w:hAnsi="Times New Roman" w:cs="Times New Roman"/>
          <w:i/>
          <w:iCs/>
          <w:sz w:val="24"/>
          <w:szCs w:val="24"/>
        </w:rPr>
        <w:t xml:space="preserve">El desarrollo urbano de México: Diagnóstico e implicaciones futuras. 2da. Edición. </w:t>
      </w:r>
      <w:r w:rsidRPr="00923420">
        <w:rPr>
          <w:rFonts w:ascii="Times New Roman" w:hAnsi="Times New Roman" w:cs="Times New Roman"/>
          <w:iCs/>
          <w:sz w:val="24"/>
          <w:szCs w:val="24"/>
        </w:rPr>
        <w:t>México.</w:t>
      </w:r>
      <w:r w:rsidRPr="00923420">
        <w:rPr>
          <w:rFonts w:ascii="Times New Roman" w:hAnsi="Times New Roman" w:cs="Times New Roman"/>
          <w:i/>
          <w:iCs/>
          <w:sz w:val="24"/>
          <w:szCs w:val="24"/>
        </w:rPr>
        <w:t xml:space="preserve"> </w:t>
      </w:r>
      <w:r w:rsidRPr="00923420">
        <w:rPr>
          <w:rFonts w:ascii="Times New Roman" w:hAnsi="Times New Roman" w:cs="Times New Roman"/>
          <w:sz w:val="24"/>
          <w:szCs w:val="24"/>
        </w:rPr>
        <w:t>El Colegio de México.</w:t>
      </w:r>
    </w:p>
    <w:p w:rsidR="00923420" w:rsidRDefault="00923420" w:rsidP="00923420">
      <w:pPr>
        <w:spacing w:line="360" w:lineRule="auto"/>
        <w:ind w:left="709" w:hanging="709"/>
        <w:jc w:val="both"/>
        <w:rPr>
          <w:rFonts w:ascii="Times New Roman" w:hAnsi="Times New Roman" w:cs="Times New Roman"/>
          <w:sz w:val="24"/>
          <w:szCs w:val="24"/>
        </w:rPr>
      </w:pPr>
      <w:r w:rsidRPr="00923420">
        <w:rPr>
          <w:rFonts w:ascii="Times New Roman" w:hAnsi="Times New Roman" w:cs="Times New Roman"/>
          <w:sz w:val="24"/>
          <w:szCs w:val="24"/>
        </w:rPr>
        <w:t xml:space="preserve">Villagrán, A. (2013). </w:t>
      </w:r>
      <w:r w:rsidRPr="00923420">
        <w:rPr>
          <w:rFonts w:ascii="Times New Roman" w:hAnsi="Times New Roman" w:cs="Times New Roman"/>
          <w:i/>
          <w:sz w:val="24"/>
          <w:szCs w:val="24"/>
        </w:rPr>
        <w:t>Niveles de </w:t>
      </w:r>
      <w:r w:rsidRPr="00923420">
        <w:rPr>
          <w:rFonts w:ascii="Times New Roman" w:hAnsi="Times New Roman" w:cs="Times New Roman"/>
          <w:bCs/>
          <w:i/>
          <w:sz w:val="24"/>
          <w:szCs w:val="24"/>
        </w:rPr>
        <w:t>asimilación</w:t>
      </w:r>
      <w:r w:rsidRPr="00923420">
        <w:rPr>
          <w:rFonts w:ascii="Times New Roman" w:hAnsi="Times New Roman" w:cs="Times New Roman"/>
          <w:i/>
          <w:sz w:val="24"/>
          <w:szCs w:val="24"/>
        </w:rPr>
        <w:t> </w:t>
      </w:r>
      <w:r w:rsidRPr="00923420">
        <w:rPr>
          <w:rFonts w:ascii="Times New Roman" w:hAnsi="Times New Roman" w:cs="Times New Roman"/>
          <w:bCs/>
          <w:i/>
          <w:sz w:val="24"/>
          <w:szCs w:val="24"/>
        </w:rPr>
        <w:t>económica</w:t>
      </w:r>
      <w:r w:rsidRPr="00923420">
        <w:rPr>
          <w:rFonts w:ascii="Times New Roman" w:hAnsi="Times New Roman" w:cs="Times New Roman"/>
          <w:i/>
          <w:sz w:val="24"/>
          <w:szCs w:val="24"/>
        </w:rPr>
        <w:t xml:space="preserve"> del Estado de Tabasco </w:t>
      </w:r>
      <w:r w:rsidRPr="00923420">
        <w:rPr>
          <w:rFonts w:ascii="Times New Roman" w:hAnsi="Times New Roman" w:cs="Times New Roman"/>
          <w:sz w:val="24"/>
          <w:szCs w:val="24"/>
        </w:rPr>
        <w:t>(Licenciatura en Geografía).</w:t>
      </w:r>
      <w:r w:rsidRPr="00923420">
        <w:rPr>
          <w:rFonts w:ascii="Times New Roman" w:hAnsi="Times New Roman" w:cs="Times New Roman"/>
          <w:i/>
          <w:sz w:val="24"/>
          <w:szCs w:val="24"/>
        </w:rPr>
        <w:t xml:space="preserve"> </w:t>
      </w:r>
      <w:r w:rsidRPr="00923420">
        <w:rPr>
          <w:rFonts w:ascii="Times New Roman" w:hAnsi="Times New Roman" w:cs="Times New Roman"/>
          <w:sz w:val="24"/>
          <w:szCs w:val="24"/>
        </w:rPr>
        <w:t>Facultad de Filosofía y Letras, UNAM. México.</w:t>
      </w:r>
    </w:p>
    <w:p w:rsidR="00FD46C3" w:rsidRDefault="00FD46C3" w:rsidP="00FD46C3">
      <w:pPr>
        <w:autoSpaceDE w:val="0"/>
        <w:autoSpaceDN w:val="0"/>
        <w:adjustRightInd w:val="0"/>
        <w:spacing w:line="360" w:lineRule="auto"/>
        <w:ind w:left="709" w:hanging="709"/>
        <w:jc w:val="both"/>
        <w:rPr>
          <w:rFonts w:ascii="Times New Roman" w:hAnsi="Times New Roman" w:cs="Times New Roman"/>
          <w:bCs/>
          <w:sz w:val="24"/>
          <w:szCs w:val="24"/>
        </w:rPr>
      </w:pPr>
    </w:p>
    <w:p w:rsidR="00FD46C3" w:rsidRDefault="00FD46C3" w:rsidP="00FD46C3">
      <w:pPr>
        <w:autoSpaceDE w:val="0"/>
        <w:autoSpaceDN w:val="0"/>
        <w:adjustRightInd w:val="0"/>
        <w:spacing w:line="360" w:lineRule="auto"/>
        <w:ind w:left="709" w:hanging="709"/>
        <w:jc w:val="both"/>
        <w:rPr>
          <w:rFonts w:ascii="Times New Roman" w:hAnsi="Times New Roman" w:cs="Times New Roman"/>
          <w:bCs/>
          <w:sz w:val="24"/>
          <w:szCs w:val="24"/>
        </w:rPr>
      </w:pPr>
    </w:p>
    <w:p w:rsidR="00FD46C3" w:rsidRDefault="00FD46C3" w:rsidP="00FD46C3">
      <w:pPr>
        <w:spacing w:line="360" w:lineRule="auto"/>
        <w:ind w:left="709" w:hanging="709"/>
        <w:jc w:val="both"/>
        <w:rPr>
          <w:rFonts w:ascii="Times New Roman" w:hAnsi="Times New Roman" w:cs="Times New Roman"/>
          <w:sz w:val="24"/>
          <w:szCs w:val="24"/>
        </w:rPr>
      </w:pPr>
    </w:p>
    <w:p w:rsidR="00FD46C3" w:rsidRDefault="00FD46C3" w:rsidP="00FD46C3">
      <w:pPr>
        <w:spacing w:line="360" w:lineRule="auto"/>
        <w:ind w:left="709" w:hanging="709"/>
        <w:jc w:val="both"/>
        <w:rPr>
          <w:rFonts w:ascii="Times New Roman" w:hAnsi="Times New Roman" w:cs="Times New Roman"/>
          <w:iCs/>
          <w:sz w:val="24"/>
          <w:szCs w:val="24"/>
        </w:rPr>
      </w:pPr>
    </w:p>
    <w:p w:rsidR="00FD46C3" w:rsidRPr="00FD46C3" w:rsidRDefault="00FD46C3" w:rsidP="00923420">
      <w:pPr>
        <w:spacing w:line="360" w:lineRule="auto"/>
        <w:ind w:left="709" w:hanging="709"/>
        <w:jc w:val="both"/>
        <w:rPr>
          <w:rFonts w:ascii="Times New Roman" w:hAnsi="Times New Roman" w:cs="Times New Roman"/>
          <w:sz w:val="24"/>
          <w:szCs w:val="24"/>
        </w:rPr>
      </w:pPr>
    </w:p>
    <w:p w:rsidR="00923420" w:rsidRPr="00E43278" w:rsidRDefault="00923420" w:rsidP="00DB36F0">
      <w:pPr>
        <w:spacing w:line="360" w:lineRule="auto"/>
        <w:jc w:val="both"/>
        <w:rPr>
          <w:rFonts w:ascii="Times New Roman" w:hAnsi="Times New Roman" w:cs="Times New Roman"/>
          <w:b/>
          <w:sz w:val="24"/>
          <w:szCs w:val="24"/>
        </w:rPr>
      </w:pPr>
    </w:p>
    <w:sectPr w:rsidR="00923420" w:rsidRPr="00E43278" w:rsidSect="003B4636">
      <w:headerReference w:type="default" r:id="rId20"/>
      <w:footerReference w:type="default" r:id="rId2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F0E" w:rsidRDefault="00614F0E" w:rsidP="00937542">
      <w:pPr>
        <w:spacing w:after="0" w:line="240" w:lineRule="auto"/>
      </w:pPr>
      <w:r>
        <w:separator/>
      </w:r>
    </w:p>
  </w:endnote>
  <w:endnote w:type="continuationSeparator" w:id="0">
    <w:p w:rsidR="00614F0E" w:rsidRDefault="00614F0E" w:rsidP="0093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42" w:rsidRDefault="00937542" w:rsidP="00937542">
    <w:pPr>
      <w:pStyle w:val="Piedepgina"/>
      <w:jc w:val="center"/>
    </w:pPr>
    <w:r w:rsidRPr="00842873">
      <w:rPr>
        <w:b/>
      </w:rPr>
      <w:t>Vol. 5, Núm. 10                   Julio - Diciembre 2016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F0E" w:rsidRDefault="00614F0E" w:rsidP="00937542">
      <w:pPr>
        <w:spacing w:after="0" w:line="240" w:lineRule="auto"/>
      </w:pPr>
      <w:r>
        <w:separator/>
      </w:r>
    </w:p>
  </w:footnote>
  <w:footnote w:type="continuationSeparator" w:id="0">
    <w:p w:rsidR="00614F0E" w:rsidRDefault="00614F0E" w:rsidP="009375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542" w:rsidRDefault="00937542" w:rsidP="00937542">
    <w:pPr>
      <w:pStyle w:val="Encabezado"/>
      <w:jc w:val="center"/>
    </w:pPr>
    <w:r w:rsidRPr="00842873">
      <w:rPr>
        <w:b/>
        <w:i/>
      </w:rPr>
      <w:t xml:space="preserve">Revista Iberoamericana de las Ciencias Sociales y Humanísticas </w:t>
    </w:r>
    <w:r w:rsidRPr="00842873">
      <w:rPr>
        <w:b/>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05000"/>
    <w:multiLevelType w:val="hybridMultilevel"/>
    <w:tmpl w:val="3C223362"/>
    <w:lvl w:ilvl="0" w:tplc="7CFAF8BE">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9383F14"/>
    <w:multiLevelType w:val="hybridMultilevel"/>
    <w:tmpl w:val="90489282"/>
    <w:lvl w:ilvl="0" w:tplc="0C965796">
      <w:start w:val="1"/>
      <w:numFmt w:val="lowerLetter"/>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6"/>
    <w:rsid w:val="00016A9C"/>
    <w:rsid w:val="00021F1B"/>
    <w:rsid w:val="000335F8"/>
    <w:rsid w:val="00051211"/>
    <w:rsid w:val="00051FFB"/>
    <w:rsid w:val="00060A2D"/>
    <w:rsid w:val="00066155"/>
    <w:rsid w:val="0008671D"/>
    <w:rsid w:val="000A0152"/>
    <w:rsid w:val="000B14C6"/>
    <w:rsid w:val="000B3D88"/>
    <w:rsid w:val="0014537D"/>
    <w:rsid w:val="00180760"/>
    <w:rsid w:val="001C5DF2"/>
    <w:rsid w:val="001E0A0E"/>
    <w:rsid w:val="001F6363"/>
    <w:rsid w:val="0020509C"/>
    <w:rsid w:val="00236013"/>
    <w:rsid w:val="00245E23"/>
    <w:rsid w:val="00257753"/>
    <w:rsid w:val="00270711"/>
    <w:rsid w:val="00287BBA"/>
    <w:rsid w:val="002953E8"/>
    <w:rsid w:val="002A11E4"/>
    <w:rsid w:val="002F0524"/>
    <w:rsid w:val="00331315"/>
    <w:rsid w:val="00366D06"/>
    <w:rsid w:val="003765D6"/>
    <w:rsid w:val="003B4636"/>
    <w:rsid w:val="003E7EA7"/>
    <w:rsid w:val="00417F31"/>
    <w:rsid w:val="004333B2"/>
    <w:rsid w:val="004B36D2"/>
    <w:rsid w:val="00512EDD"/>
    <w:rsid w:val="00522D6A"/>
    <w:rsid w:val="00614F0E"/>
    <w:rsid w:val="006216B3"/>
    <w:rsid w:val="0062756C"/>
    <w:rsid w:val="006300A9"/>
    <w:rsid w:val="006304BE"/>
    <w:rsid w:val="00657CDF"/>
    <w:rsid w:val="0078227A"/>
    <w:rsid w:val="00796DD9"/>
    <w:rsid w:val="007C680A"/>
    <w:rsid w:val="007F1D8A"/>
    <w:rsid w:val="008153AD"/>
    <w:rsid w:val="00822D4B"/>
    <w:rsid w:val="008F5A08"/>
    <w:rsid w:val="00900319"/>
    <w:rsid w:val="00902FED"/>
    <w:rsid w:val="00923420"/>
    <w:rsid w:val="00937542"/>
    <w:rsid w:val="00951BCC"/>
    <w:rsid w:val="009811D5"/>
    <w:rsid w:val="00995B7B"/>
    <w:rsid w:val="009A25FA"/>
    <w:rsid w:val="009C29DE"/>
    <w:rsid w:val="00A51B99"/>
    <w:rsid w:val="00A81185"/>
    <w:rsid w:val="00AD37D7"/>
    <w:rsid w:val="00AD7EBA"/>
    <w:rsid w:val="00AF60CB"/>
    <w:rsid w:val="00B315B3"/>
    <w:rsid w:val="00B354AE"/>
    <w:rsid w:val="00B62CB6"/>
    <w:rsid w:val="00B710FA"/>
    <w:rsid w:val="00B821C5"/>
    <w:rsid w:val="00BA73D8"/>
    <w:rsid w:val="00BF048D"/>
    <w:rsid w:val="00C1261E"/>
    <w:rsid w:val="00C44C49"/>
    <w:rsid w:val="00C55B8F"/>
    <w:rsid w:val="00C77F41"/>
    <w:rsid w:val="00CA6202"/>
    <w:rsid w:val="00CD28FA"/>
    <w:rsid w:val="00CD6D63"/>
    <w:rsid w:val="00CD7EF6"/>
    <w:rsid w:val="00D442AB"/>
    <w:rsid w:val="00D657F2"/>
    <w:rsid w:val="00DB36F0"/>
    <w:rsid w:val="00DD155E"/>
    <w:rsid w:val="00DF0DCB"/>
    <w:rsid w:val="00DF5ABB"/>
    <w:rsid w:val="00E01A4F"/>
    <w:rsid w:val="00E041EC"/>
    <w:rsid w:val="00E4249B"/>
    <w:rsid w:val="00E43278"/>
    <w:rsid w:val="00E56FCE"/>
    <w:rsid w:val="00EA1E1A"/>
    <w:rsid w:val="00EA6FD5"/>
    <w:rsid w:val="00EB3BE7"/>
    <w:rsid w:val="00EC08CC"/>
    <w:rsid w:val="00F06E38"/>
    <w:rsid w:val="00F27D29"/>
    <w:rsid w:val="00FB418B"/>
    <w:rsid w:val="00FB73A2"/>
    <w:rsid w:val="00FD46C3"/>
    <w:rsid w:val="00FD75EA"/>
    <w:rsid w:val="00FE0989"/>
    <w:rsid w:val="00FE372D"/>
    <w:rsid w:val="00FF07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E647D-7EC2-45D2-8D1A-9B7F3CBB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2D4B"/>
    <w:pPr>
      <w:ind w:left="720"/>
      <w:contextualSpacing/>
    </w:pPr>
  </w:style>
  <w:style w:type="table" w:styleId="Tablaconcuadrcula">
    <w:name w:val="Table Grid"/>
    <w:basedOn w:val="Tablanormal"/>
    <w:uiPriority w:val="59"/>
    <w:rsid w:val="00060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35F8"/>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FE0989"/>
    <w:rPr>
      <w:color w:val="0563C1" w:themeColor="hyperlink"/>
      <w:u w:val="single"/>
    </w:rPr>
  </w:style>
  <w:style w:type="paragraph" w:styleId="Textodeglobo">
    <w:name w:val="Balloon Text"/>
    <w:basedOn w:val="Normal"/>
    <w:link w:val="TextodegloboCar"/>
    <w:uiPriority w:val="99"/>
    <w:semiHidden/>
    <w:unhideWhenUsed/>
    <w:rsid w:val="003765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65D6"/>
    <w:rPr>
      <w:rFonts w:ascii="Tahoma" w:hAnsi="Tahoma" w:cs="Tahoma"/>
      <w:sz w:val="16"/>
      <w:szCs w:val="16"/>
    </w:rPr>
  </w:style>
  <w:style w:type="paragraph" w:styleId="Encabezado">
    <w:name w:val="header"/>
    <w:basedOn w:val="Normal"/>
    <w:link w:val="EncabezadoCar"/>
    <w:uiPriority w:val="99"/>
    <w:unhideWhenUsed/>
    <w:rsid w:val="009375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7542"/>
  </w:style>
  <w:style w:type="paragraph" w:styleId="Piedepgina">
    <w:name w:val="footer"/>
    <w:basedOn w:val="Normal"/>
    <w:link w:val="PiedepginaCar"/>
    <w:uiPriority w:val="99"/>
    <w:unhideWhenUsed/>
    <w:rsid w:val="009375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leriass@gmail.com" TargetMode="External"/><Relationship Id="rId13" Type="http://schemas.openxmlformats.org/officeDocument/2006/relationships/image" Target="media/image4.emf"/><Relationship Id="rId18" Type="http://schemas.openxmlformats.org/officeDocument/2006/relationships/hyperlink" Target="http://sociales.uaslp.mx/publicaciones/revista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garciaca@conacyt.mx" TargetMode="External"/><Relationship Id="rId12" Type="http://schemas.openxmlformats.org/officeDocument/2006/relationships/image" Target="media/image3.emf"/><Relationship Id="rId17" Type="http://schemas.openxmlformats.org/officeDocument/2006/relationships/hyperlink" Target="http://sc.inegi.org.mx/cobdem/" TargetMode="External"/><Relationship Id="rId2" Type="http://schemas.openxmlformats.org/officeDocument/2006/relationships/styles" Target="styles.xml"/><Relationship Id="rId16" Type="http://schemas.openxmlformats.org/officeDocument/2006/relationships/hyperlink" Target="http://www.guerrero.gob.mx/?P=municipio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hyperlink" Target="http://www.scielo.org.mx/pdf/igeo/n27/n27a3.pdf"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scielo.org.mx/scielo.php?script=sci_arttext&amp;pid=S0188-46111998000300005" TargetMode="External"/><Relationship Id="rId4" Type="http://schemas.openxmlformats.org/officeDocument/2006/relationships/webSettings" Target="webSettings.xml"/><Relationship Id="rId9" Type="http://schemas.openxmlformats.org/officeDocument/2006/relationships/hyperlink" Target="mailto:pvidalt@hotmail.com" TargetMode="External"/><Relationship Id="rId14" Type="http://schemas.openxmlformats.org/officeDocument/2006/relationships/hyperlink" Target="http://www.coneval.gob.mx/Medicion/Paginas/Rezago_social_AGEB_2010.aspx"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5070</Words>
  <Characters>27888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Neftalí García Castro</dc:creator>
  <cp:lastModifiedBy>JOE</cp:lastModifiedBy>
  <cp:revision>5</cp:revision>
  <dcterms:created xsi:type="dcterms:W3CDTF">2016-12-15T18:20:00Z</dcterms:created>
  <dcterms:modified xsi:type="dcterms:W3CDTF">2017-03-15T22:29:00Z</dcterms:modified>
</cp:coreProperties>
</file>