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618" w:rsidRPr="00B40618" w:rsidRDefault="00B40618" w:rsidP="00B40618">
      <w:pPr>
        <w:pStyle w:val="Sinespaciado"/>
        <w:spacing w:line="276" w:lineRule="auto"/>
        <w:jc w:val="right"/>
        <w:rPr>
          <w:rFonts w:cs="Arial"/>
          <w:color w:val="7030A0"/>
          <w:sz w:val="24"/>
          <w:szCs w:val="24"/>
        </w:rPr>
      </w:pPr>
      <w:r w:rsidRPr="00B40618">
        <w:rPr>
          <w:rFonts w:cs="Arial"/>
          <w:color w:val="7030A0"/>
          <w:sz w:val="36"/>
          <w:szCs w:val="24"/>
        </w:rPr>
        <w:t>Rendición de cuentas y los mecanismos de transparencia legislativa en América Latina</w:t>
      </w:r>
    </w:p>
    <w:p w:rsidR="00B40618" w:rsidRPr="004874B4" w:rsidRDefault="00B40618" w:rsidP="00B40618">
      <w:pPr>
        <w:pStyle w:val="Sinespaciado"/>
        <w:spacing w:line="360" w:lineRule="auto"/>
        <w:jc w:val="right"/>
        <w:rPr>
          <w:rFonts w:ascii="Arial" w:hAnsi="Arial" w:cs="Arial"/>
          <w:b/>
          <w:sz w:val="24"/>
          <w:szCs w:val="24"/>
        </w:rPr>
      </w:pPr>
    </w:p>
    <w:p w:rsidR="00B40618" w:rsidRPr="009A4C84" w:rsidRDefault="004002A3" w:rsidP="00B40618">
      <w:pPr>
        <w:pStyle w:val="Sinespaciado"/>
        <w:spacing w:line="276" w:lineRule="auto"/>
        <w:jc w:val="right"/>
        <w:rPr>
          <w:rFonts w:cs="Arial"/>
          <w:i/>
          <w:color w:val="7030A0"/>
          <w:szCs w:val="24"/>
          <w:lang w:val="en-US"/>
        </w:rPr>
      </w:pPr>
      <w:r w:rsidRPr="009A4C84">
        <w:rPr>
          <w:rFonts w:cs="Arial"/>
          <w:i/>
          <w:color w:val="7030A0"/>
          <w:sz w:val="28"/>
          <w:szCs w:val="24"/>
          <w:lang w:val="en-US"/>
        </w:rPr>
        <w:t>Rendered Accounting and mechanisms of Legislative Transparency in Latin America</w:t>
      </w:r>
    </w:p>
    <w:p w:rsidR="00B40618" w:rsidRPr="009A4C84" w:rsidRDefault="00B40618" w:rsidP="00B40618">
      <w:pPr>
        <w:pStyle w:val="Sinespaciado"/>
        <w:spacing w:line="276" w:lineRule="auto"/>
        <w:jc w:val="right"/>
        <w:rPr>
          <w:rFonts w:cs="Arial"/>
          <w:i/>
          <w:color w:val="7030A0"/>
          <w:sz w:val="28"/>
          <w:szCs w:val="24"/>
          <w:lang w:val="en-US"/>
        </w:rPr>
      </w:pPr>
    </w:p>
    <w:p w:rsidR="00B40618" w:rsidRPr="00B40618" w:rsidRDefault="00B40618" w:rsidP="00B40618">
      <w:pPr>
        <w:pStyle w:val="Sinespaciado"/>
        <w:spacing w:line="276" w:lineRule="auto"/>
        <w:jc w:val="right"/>
        <w:rPr>
          <w:rFonts w:cs="Arial"/>
          <w:i/>
          <w:color w:val="7030A0"/>
          <w:sz w:val="28"/>
          <w:szCs w:val="24"/>
        </w:rPr>
      </w:pPr>
      <w:r w:rsidRPr="00B40618">
        <w:rPr>
          <w:rFonts w:cs="Arial"/>
          <w:i/>
          <w:color w:val="7030A0"/>
          <w:sz w:val="28"/>
          <w:szCs w:val="24"/>
        </w:rPr>
        <w:t>Responsabilidade e transparência mecanismos legislativos na América Latina</w:t>
      </w:r>
    </w:p>
    <w:p w:rsidR="00B40618" w:rsidRPr="009A4C84" w:rsidRDefault="00B40618" w:rsidP="00B40618">
      <w:pPr>
        <w:pStyle w:val="Sinespaciado"/>
        <w:spacing w:line="360" w:lineRule="auto"/>
        <w:jc w:val="center"/>
        <w:rPr>
          <w:rFonts w:ascii="Arial" w:hAnsi="Arial" w:cs="Arial"/>
          <w:sz w:val="24"/>
          <w:szCs w:val="24"/>
          <w:lang w:val="es-MX"/>
        </w:rPr>
      </w:pPr>
    </w:p>
    <w:p w:rsidR="00B40618" w:rsidRPr="009A4C84" w:rsidRDefault="00B40618" w:rsidP="00B40618">
      <w:pPr>
        <w:pStyle w:val="Sinespaciado"/>
        <w:spacing w:line="360" w:lineRule="auto"/>
        <w:jc w:val="center"/>
        <w:rPr>
          <w:rFonts w:ascii="Arial" w:hAnsi="Arial" w:cs="Arial"/>
          <w:sz w:val="24"/>
          <w:szCs w:val="24"/>
          <w:lang w:val="es-MX"/>
        </w:rPr>
      </w:pPr>
    </w:p>
    <w:p w:rsidR="00B40618" w:rsidRPr="00B40618" w:rsidRDefault="00B40618" w:rsidP="00B40618">
      <w:pPr>
        <w:pStyle w:val="Sinespaciado"/>
        <w:spacing w:line="276" w:lineRule="auto"/>
        <w:jc w:val="right"/>
        <w:rPr>
          <w:rFonts w:cs="Arial"/>
          <w:b/>
          <w:sz w:val="24"/>
          <w:szCs w:val="24"/>
        </w:rPr>
      </w:pPr>
      <w:r w:rsidRPr="00B40618">
        <w:rPr>
          <w:rFonts w:cs="Arial"/>
          <w:b/>
          <w:sz w:val="24"/>
          <w:szCs w:val="24"/>
        </w:rPr>
        <w:t>Laura Valencia Escamilla</w:t>
      </w:r>
      <w:r>
        <w:rPr>
          <w:rFonts w:cs="Arial"/>
          <w:b/>
          <w:sz w:val="24"/>
          <w:szCs w:val="24"/>
        </w:rPr>
        <w:br/>
      </w:r>
      <w:r w:rsidRPr="00B40618">
        <w:rPr>
          <w:rFonts w:cs="Arial"/>
          <w:color w:val="000000" w:themeColor="text1"/>
          <w:sz w:val="24"/>
          <w:shd w:val="clear" w:color="auto" w:fill="FFFFFF"/>
        </w:rPr>
        <w:t>Universidad Autónoma Metropolitana, Plantel Xochimilco</w:t>
      </w:r>
      <w:r w:rsidR="009A4C84">
        <w:rPr>
          <w:lang w:val="es-ES"/>
        </w:rPr>
        <w:t>, México</w:t>
      </w:r>
      <w:bookmarkStart w:id="0" w:name="_GoBack"/>
      <w:bookmarkEnd w:id="0"/>
      <w:r>
        <w:rPr>
          <w:rFonts w:cs="Arial"/>
          <w:color w:val="000000" w:themeColor="text1"/>
          <w:sz w:val="24"/>
          <w:shd w:val="clear" w:color="auto" w:fill="FFFFFF"/>
        </w:rPr>
        <w:br/>
      </w:r>
      <w:r w:rsidRPr="00B40618">
        <w:rPr>
          <w:rFonts w:cs="Arial"/>
          <w:color w:val="FF0000"/>
          <w:sz w:val="24"/>
          <w:szCs w:val="24"/>
        </w:rPr>
        <w:t>lvael@yahoo.com</w:t>
      </w:r>
    </w:p>
    <w:p w:rsidR="00B40618" w:rsidRPr="009A4C84" w:rsidRDefault="00B40618" w:rsidP="00B40618">
      <w:pPr>
        <w:pStyle w:val="Sinespaciado"/>
        <w:spacing w:line="360" w:lineRule="auto"/>
        <w:jc w:val="center"/>
        <w:rPr>
          <w:rFonts w:ascii="Arial" w:hAnsi="Arial" w:cs="Arial"/>
          <w:sz w:val="24"/>
          <w:szCs w:val="24"/>
          <w:lang w:val="es-MX"/>
        </w:rPr>
      </w:pPr>
    </w:p>
    <w:p w:rsidR="00B40618" w:rsidRPr="009A4C84" w:rsidRDefault="00B40618" w:rsidP="00B40618">
      <w:pPr>
        <w:pStyle w:val="Sinespaciado"/>
        <w:spacing w:line="360" w:lineRule="auto"/>
        <w:jc w:val="both"/>
        <w:rPr>
          <w:rFonts w:ascii="Arial" w:hAnsi="Arial" w:cs="Arial"/>
          <w:sz w:val="24"/>
          <w:szCs w:val="24"/>
          <w:lang w:val="es-MX"/>
        </w:rPr>
      </w:pPr>
    </w:p>
    <w:p w:rsidR="00B40618" w:rsidRDefault="00B40618" w:rsidP="00B40618">
      <w:pPr>
        <w:pStyle w:val="Sinespaciado"/>
        <w:spacing w:line="360" w:lineRule="auto"/>
        <w:jc w:val="both"/>
        <w:rPr>
          <w:rFonts w:ascii="Arial" w:hAnsi="Arial" w:cs="Arial"/>
          <w:b/>
          <w:sz w:val="24"/>
          <w:szCs w:val="24"/>
        </w:rPr>
      </w:pPr>
    </w:p>
    <w:p w:rsidR="00B40618" w:rsidRPr="00B40618" w:rsidRDefault="00B40618" w:rsidP="00B40618">
      <w:pPr>
        <w:pStyle w:val="Sinespaciado"/>
        <w:spacing w:line="360" w:lineRule="auto"/>
        <w:jc w:val="both"/>
        <w:rPr>
          <w:rFonts w:cs="Arial"/>
          <w:color w:val="7030A0"/>
          <w:sz w:val="28"/>
          <w:szCs w:val="24"/>
        </w:rPr>
      </w:pPr>
      <w:r w:rsidRPr="00B40618">
        <w:rPr>
          <w:rFonts w:cs="Arial"/>
          <w:color w:val="7030A0"/>
          <w:sz w:val="28"/>
          <w:szCs w:val="24"/>
        </w:rPr>
        <w:t>Resumen</w:t>
      </w:r>
    </w:p>
    <w:p w:rsidR="00B40618" w:rsidRPr="00B40618" w:rsidRDefault="00B40618" w:rsidP="00B40618">
      <w:pPr>
        <w:pStyle w:val="Sinespaciado"/>
        <w:spacing w:line="360" w:lineRule="auto"/>
        <w:jc w:val="both"/>
        <w:rPr>
          <w:rFonts w:ascii="Times New Roman" w:hAnsi="Times New Roman" w:cs="Times New Roman"/>
          <w:sz w:val="24"/>
          <w:szCs w:val="24"/>
          <w:lang w:val="es-MX"/>
        </w:rPr>
      </w:pPr>
      <w:r w:rsidRPr="00B40618">
        <w:rPr>
          <w:rFonts w:ascii="Times New Roman" w:hAnsi="Times New Roman" w:cs="Times New Roman"/>
          <w:sz w:val="24"/>
          <w:szCs w:val="24"/>
        </w:rPr>
        <w:t>Este documento analiza la manera como el proceso de modernización legislativa en la región latinoamericana favoreció la gestión legislativa, el acceso a la información, la transparencia y la participación ciudadana en las decisiones legislativas. Sin embargo, las expectativas tecnológicas no garantizaron del todo cambios profundos en las prácticas políticas, en la representación y aún menos en la rendición de cuentas, situación que coloca a los Congresos en una complicada crisis de credibilidad y confianza. El estudio elabora un análisis comparado a partir de dos criterios:</w:t>
      </w:r>
      <w:r w:rsidRPr="00B40618">
        <w:rPr>
          <w:rFonts w:ascii="Times New Roman" w:hAnsi="Times New Roman" w:cs="Times New Roman"/>
          <w:sz w:val="24"/>
          <w:szCs w:val="24"/>
          <w:lang w:val="es-MX"/>
        </w:rPr>
        <w:t>1) la rendición de cuentas, el equilibrio de poderes y la reelección; y 2) el acceso ciudadano a la información y del nivel de incidencia</w:t>
      </w:r>
      <w:r w:rsidRPr="00B40618">
        <w:rPr>
          <w:rFonts w:ascii="Times New Roman" w:hAnsi="Times New Roman" w:cs="Times New Roman"/>
          <w:sz w:val="24"/>
          <w:szCs w:val="24"/>
          <w:lang w:val="es-ES"/>
        </w:rPr>
        <w:t xml:space="preserve"> de este</w:t>
      </w:r>
      <w:r w:rsidRPr="00B40618">
        <w:rPr>
          <w:rFonts w:ascii="Times New Roman" w:hAnsi="Times New Roman" w:cs="Times New Roman"/>
          <w:sz w:val="24"/>
          <w:szCs w:val="24"/>
          <w:lang w:val="es-MX"/>
        </w:rPr>
        <w:t xml:space="preserve"> en las decisiones legislativas. </w:t>
      </w:r>
    </w:p>
    <w:p w:rsidR="00B40618" w:rsidRDefault="00B40618" w:rsidP="00B40618">
      <w:pPr>
        <w:pStyle w:val="Sinespaciado"/>
        <w:jc w:val="both"/>
        <w:rPr>
          <w:rFonts w:ascii="Arial" w:hAnsi="Arial" w:cs="Arial"/>
          <w:sz w:val="24"/>
          <w:szCs w:val="24"/>
          <w:lang w:val="es-MX"/>
        </w:rPr>
      </w:pPr>
    </w:p>
    <w:p w:rsidR="00B40618" w:rsidRDefault="00B40618" w:rsidP="00B40618">
      <w:pPr>
        <w:pStyle w:val="Sinespaciado"/>
        <w:spacing w:line="360" w:lineRule="auto"/>
        <w:jc w:val="both"/>
        <w:rPr>
          <w:rFonts w:ascii="Arial" w:hAnsi="Arial" w:cs="Arial"/>
          <w:sz w:val="24"/>
          <w:szCs w:val="24"/>
          <w:lang w:val="es-MX"/>
        </w:rPr>
      </w:pPr>
      <w:r w:rsidRPr="00B40618">
        <w:rPr>
          <w:rFonts w:cs="Arial"/>
          <w:color w:val="7030A0"/>
          <w:sz w:val="28"/>
          <w:szCs w:val="24"/>
        </w:rPr>
        <w:t>Palabras clave:</w:t>
      </w:r>
      <w:r>
        <w:rPr>
          <w:rFonts w:ascii="Arial" w:hAnsi="Arial" w:cs="Arial"/>
          <w:sz w:val="24"/>
          <w:szCs w:val="24"/>
          <w:lang w:val="es-MX"/>
        </w:rPr>
        <w:t xml:space="preserve"> </w:t>
      </w:r>
      <w:r w:rsidRPr="00B40618">
        <w:rPr>
          <w:rFonts w:ascii="Times New Roman" w:hAnsi="Times New Roman" w:cs="Times New Roman"/>
          <w:sz w:val="24"/>
          <w:szCs w:val="24"/>
        </w:rPr>
        <w:t>rendición de cuentas, Congresos latinoamericanos, parlamentos abiertos, sistemas de información legislativa.</w:t>
      </w:r>
    </w:p>
    <w:p w:rsidR="00B40618" w:rsidRDefault="00B40618" w:rsidP="00B40618">
      <w:pPr>
        <w:pStyle w:val="Sinespaciado"/>
        <w:jc w:val="both"/>
        <w:rPr>
          <w:rFonts w:ascii="Arial" w:hAnsi="Arial" w:cs="Arial"/>
          <w:sz w:val="24"/>
          <w:szCs w:val="24"/>
          <w:lang w:val="es-MX"/>
        </w:rPr>
      </w:pPr>
    </w:p>
    <w:p w:rsidR="005E3AC9" w:rsidRDefault="005E3AC9" w:rsidP="00B40618">
      <w:pPr>
        <w:pStyle w:val="Sinespaciado"/>
        <w:jc w:val="both"/>
        <w:rPr>
          <w:rFonts w:cs="Arial"/>
          <w:color w:val="7030A0"/>
          <w:sz w:val="28"/>
          <w:szCs w:val="24"/>
        </w:rPr>
      </w:pPr>
    </w:p>
    <w:p w:rsidR="005E3AC9" w:rsidRDefault="005E3AC9" w:rsidP="00B40618">
      <w:pPr>
        <w:pStyle w:val="Sinespaciado"/>
        <w:jc w:val="both"/>
        <w:rPr>
          <w:rFonts w:cs="Arial"/>
          <w:color w:val="7030A0"/>
          <w:sz w:val="28"/>
          <w:szCs w:val="24"/>
        </w:rPr>
      </w:pPr>
    </w:p>
    <w:p w:rsidR="005E3AC9" w:rsidRDefault="005E3AC9" w:rsidP="00B40618">
      <w:pPr>
        <w:pStyle w:val="Sinespaciado"/>
        <w:jc w:val="both"/>
        <w:rPr>
          <w:rFonts w:cs="Arial"/>
          <w:color w:val="7030A0"/>
          <w:sz w:val="28"/>
          <w:szCs w:val="24"/>
        </w:rPr>
      </w:pPr>
    </w:p>
    <w:p w:rsidR="00B40618" w:rsidRPr="00B40618" w:rsidRDefault="00B40618" w:rsidP="00B40618">
      <w:pPr>
        <w:pStyle w:val="Sinespaciado"/>
        <w:jc w:val="both"/>
        <w:rPr>
          <w:rFonts w:cs="Arial"/>
          <w:color w:val="7030A0"/>
          <w:sz w:val="28"/>
          <w:szCs w:val="24"/>
        </w:rPr>
      </w:pPr>
      <w:r w:rsidRPr="00B40618">
        <w:rPr>
          <w:rFonts w:cs="Arial"/>
          <w:color w:val="7030A0"/>
          <w:sz w:val="28"/>
          <w:szCs w:val="24"/>
        </w:rPr>
        <w:lastRenderedPageBreak/>
        <w:t>Abstract</w:t>
      </w:r>
    </w:p>
    <w:p w:rsidR="00B40618" w:rsidRPr="000A2139" w:rsidRDefault="00B40618" w:rsidP="00B40618">
      <w:pPr>
        <w:pStyle w:val="Sinespaciado"/>
        <w:jc w:val="both"/>
        <w:rPr>
          <w:rFonts w:ascii="Arial" w:hAnsi="Arial" w:cs="Arial"/>
          <w:sz w:val="24"/>
          <w:szCs w:val="24"/>
          <w:lang w:val="en-US"/>
        </w:rPr>
      </w:pPr>
    </w:p>
    <w:p w:rsidR="004002A3" w:rsidRDefault="004002A3" w:rsidP="004002A3">
      <w:pPr>
        <w:pStyle w:val="Sinespaciado"/>
        <w:spacing w:line="360" w:lineRule="auto"/>
        <w:jc w:val="both"/>
      </w:pPr>
      <w:r>
        <w:rPr>
          <w:rFonts w:ascii="Times New Roman" w:hAnsi="Times New Roman" w:cs="Times New Roman"/>
          <w:sz w:val="24"/>
          <w:szCs w:val="24"/>
        </w:rPr>
        <w:t xml:space="preserve">This document analyzes the way the process of legislative modernization favored the legislative management in the region Latin America, the information access, the transparency and citizen participation in decision making. However, technological expectations not guaranteed at all profound changes in political practices, in the representation and even less in rendered accounting, situation that put the Congress in a complicated crisis of credibility and confidence. The study develops a Comparative Analysis based on two criteria: </w:t>
      </w:r>
      <w:r>
        <w:rPr>
          <w:rFonts w:ascii="Times New Roman" w:hAnsi="Times New Roman" w:cs="Times New Roman"/>
          <w:sz w:val="24"/>
          <w:szCs w:val="24"/>
          <w:lang w:val="es-MX"/>
        </w:rPr>
        <w:t>1) Rendered Accounting, balance of power and Re-election; and 2) citizens access to information and the level of incidence of this in decision making.</w:t>
      </w:r>
    </w:p>
    <w:p w:rsidR="004002A3" w:rsidRDefault="004002A3" w:rsidP="004002A3">
      <w:pPr>
        <w:pStyle w:val="Sinespaciado"/>
        <w:jc w:val="both"/>
        <w:rPr>
          <w:rFonts w:ascii="Arial" w:hAnsi="Arial" w:cs="Arial"/>
          <w:szCs w:val="24"/>
          <w:lang w:val="es-MX"/>
        </w:rPr>
      </w:pPr>
    </w:p>
    <w:p w:rsidR="00B40618" w:rsidRDefault="004002A3" w:rsidP="009F7B05">
      <w:pPr>
        <w:pStyle w:val="Sinespaciado"/>
        <w:spacing w:after="240" w:line="360" w:lineRule="auto"/>
        <w:jc w:val="both"/>
        <w:rPr>
          <w:rFonts w:ascii="Arial" w:hAnsi="Arial" w:cs="Arial"/>
          <w:sz w:val="24"/>
          <w:szCs w:val="24"/>
          <w:lang w:val="en-US"/>
        </w:rPr>
      </w:pPr>
      <w:r>
        <w:rPr>
          <w:rFonts w:cs="Arial"/>
          <w:color w:val="7030A0"/>
          <w:sz w:val="28"/>
          <w:szCs w:val="24"/>
        </w:rPr>
        <w:t>Key Words:</w:t>
      </w:r>
      <w:r>
        <w:rPr>
          <w:rFonts w:ascii="Arial" w:hAnsi="Arial" w:cs="Arial"/>
          <w:sz w:val="24"/>
          <w:szCs w:val="24"/>
          <w:lang w:val="es-MX"/>
        </w:rPr>
        <w:t xml:space="preserve"> </w:t>
      </w:r>
      <w:r>
        <w:rPr>
          <w:rFonts w:ascii="Times New Roman" w:hAnsi="Times New Roman" w:cs="Times New Roman"/>
          <w:sz w:val="24"/>
          <w:szCs w:val="24"/>
        </w:rPr>
        <w:t>Rendered Accounting, Latin American Congresses, Open Parliament, Legislative Information System.</w:t>
      </w:r>
      <w:r w:rsidR="00B40618">
        <w:rPr>
          <w:rFonts w:ascii="Arial" w:hAnsi="Arial" w:cs="Arial"/>
          <w:sz w:val="24"/>
          <w:szCs w:val="24"/>
          <w:lang w:val="en-US"/>
        </w:rPr>
        <w:t xml:space="preserve"> </w:t>
      </w:r>
    </w:p>
    <w:p w:rsidR="00B40618" w:rsidRDefault="00B40618" w:rsidP="00B40618">
      <w:pPr>
        <w:pStyle w:val="Sinespaciado"/>
        <w:spacing w:line="360" w:lineRule="auto"/>
        <w:jc w:val="both"/>
        <w:rPr>
          <w:rFonts w:cs="Arial"/>
          <w:color w:val="7030A0"/>
          <w:sz w:val="28"/>
          <w:szCs w:val="24"/>
        </w:rPr>
      </w:pPr>
      <w:r w:rsidRPr="00B40618">
        <w:rPr>
          <w:rFonts w:cs="Arial"/>
          <w:color w:val="7030A0"/>
          <w:sz w:val="28"/>
          <w:szCs w:val="24"/>
        </w:rPr>
        <w:t>Resumo</w:t>
      </w:r>
    </w:p>
    <w:p w:rsidR="00B40618" w:rsidRDefault="00B40618" w:rsidP="00B40618">
      <w:pPr>
        <w:pStyle w:val="Sinespaciado"/>
        <w:spacing w:line="360" w:lineRule="auto"/>
        <w:jc w:val="both"/>
        <w:rPr>
          <w:rFonts w:ascii="Times New Roman" w:hAnsi="Times New Roman" w:cs="Times New Roman"/>
          <w:sz w:val="24"/>
          <w:szCs w:val="24"/>
        </w:rPr>
      </w:pPr>
      <w:r w:rsidRPr="00B40618">
        <w:rPr>
          <w:rFonts w:ascii="Times New Roman" w:hAnsi="Times New Roman" w:cs="Times New Roman"/>
          <w:sz w:val="24"/>
          <w:szCs w:val="24"/>
        </w:rPr>
        <w:t>Este artigo analisa a forma como o processo de modernização legislativa na América Latina favoreceu a gestão legislativa, o acesso à informação, a transparência ea participação dos cidadãos nas decisões legislativas. No entanto, as expectativas tecnológicas não estão garantidos em mudanças profundas na todas as práticas políticas, em representação e ainda menos a prestação de contas, uma situação que coloca o Congresso em uma crise complicada de credibilidade e confiança. O estudo baseia-se em uma análise comparativa de dois critérios: 1) a prestação de contas, o equilíbrio de poder e reeleição; e 2) o acesso dos cidadãos à informação e o nível de incidência deste nas decisões legislativas.</w:t>
      </w:r>
    </w:p>
    <w:p w:rsidR="00B40618" w:rsidRPr="00B40618" w:rsidRDefault="00B40618" w:rsidP="00B40618">
      <w:pPr>
        <w:pStyle w:val="Sinespaciado"/>
        <w:spacing w:line="360" w:lineRule="auto"/>
        <w:jc w:val="both"/>
        <w:rPr>
          <w:rFonts w:ascii="Times New Roman" w:hAnsi="Times New Roman" w:cs="Times New Roman"/>
          <w:sz w:val="24"/>
          <w:szCs w:val="24"/>
        </w:rPr>
      </w:pPr>
    </w:p>
    <w:p w:rsidR="00B40618" w:rsidRDefault="00B40618" w:rsidP="00B40618">
      <w:pPr>
        <w:pStyle w:val="Sinespaciado"/>
        <w:spacing w:line="360" w:lineRule="auto"/>
        <w:jc w:val="both"/>
        <w:rPr>
          <w:rFonts w:ascii="Times New Roman" w:hAnsi="Times New Roman" w:cs="Times New Roman"/>
          <w:sz w:val="24"/>
          <w:szCs w:val="24"/>
        </w:rPr>
      </w:pPr>
      <w:r w:rsidRPr="00B40618">
        <w:rPr>
          <w:rFonts w:cs="Arial"/>
          <w:color w:val="7030A0"/>
          <w:sz w:val="28"/>
          <w:szCs w:val="24"/>
        </w:rPr>
        <w:t xml:space="preserve">Palavras-chave: </w:t>
      </w:r>
      <w:r w:rsidRPr="00B40618">
        <w:rPr>
          <w:rFonts w:ascii="Times New Roman" w:hAnsi="Times New Roman" w:cs="Times New Roman"/>
          <w:sz w:val="24"/>
          <w:szCs w:val="24"/>
        </w:rPr>
        <w:t>responsabilização, congressos latino-americanos, parlamentos abertos, sistemas de informação legislativas.</w:t>
      </w:r>
    </w:p>
    <w:p w:rsidR="00B40618" w:rsidRDefault="00B40618" w:rsidP="00B40618">
      <w:pPr>
        <w:spacing w:line="480" w:lineRule="auto"/>
        <w:jc w:val="both"/>
        <w:rPr>
          <w:rFonts w:cs="Calibri"/>
        </w:rPr>
      </w:pPr>
      <w:r>
        <w:rPr>
          <w:b/>
        </w:rPr>
        <w:br/>
        <w:t>Fecha recepción:</w:t>
      </w:r>
      <w:r>
        <w:t xml:space="preserve">   </w:t>
      </w:r>
      <w:r w:rsidR="009F7B05">
        <w:t>Noviembre</w:t>
      </w:r>
      <w:r>
        <w:t xml:space="preserve"> 201</w:t>
      </w:r>
      <w:r w:rsidR="009F7B05">
        <w:t>5</w:t>
      </w:r>
      <w:r>
        <w:t xml:space="preserve">      </w:t>
      </w:r>
      <w:r w:rsidR="009F7B05">
        <w:t xml:space="preserve">                              </w:t>
      </w:r>
      <w:r>
        <w:t xml:space="preserve"> </w:t>
      </w:r>
      <w:r>
        <w:rPr>
          <w:b/>
        </w:rPr>
        <w:t>Fecha aceptación:</w:t>
      </w:r>
      <w:r>
        <w:t xml:space="preserve"> </w:t>
      </w:r>
      <w:r w:rsidR="009F7B05">
        <w:t>Mayo</w:t>
      </w:r>
      <w:r>
        <w:t xml:space="preserve"> 2016</w:t>
      </w:r>
    </w:p>
    <w:p w:rsidR="00B40618" w:rsidRDefault="009340D9" w:rsidP="00B40618">
      <w:pPr>
        <w:spacing w:line="480" w:lineRule="auto"/>
        <w:jc w:val="center"/>
        <w:rPr>
          <w:rFonts w:cs="Calibri"/>
        </w:rPr>
      </w:pPr>
      <w:r>
        <w:rPr>
          <w:rFonts w:cs="Calibri"/>
        </w:rPr>
        <w:pict>
          <v:rect id="_x0000_i1025" style="width:441.9pt;height:1.5pt" o:hralign="center" o:hrstd="t" o:hr="t" fillcolor="#a0a0a0" stroked="f"/>
        </w:pict>
      </w:r>
    </w:p>
    <w:p w:rsidR="00B40618" w:rsidRPr="00B40618" w:rsidRDefault="00B40618" w:rsidP="00B40618">
      <w:pPr>
        <w:pStyle w:val="Sinespaciado"/>
        <w:spacing w:line="360" w:lineRule="auto"/>
        <w:jc w:val="both"/>
        <w:rPr>
          <w:rFonts w:ascii="Times New Roman" w:hAnsi="Times New Roman" w:cs="Times New Roman"/>
          <w:sz w:val="24"/>
          <w:szCs w:val="24"/>
        </w:rPr>
      </w:pPr>
    </w:p>
    <w:p w:rsidR="00B40618" w:rsidRDefault="00B40618" w:rsidP="00B40618">
      <w:pPr>
        <w:pStyle w:val="Sinespaciado"/>
        <w:jc w:val="both"/>
        <w:rPr>
          <w:rFonts w:ascii="Arial" w:hAnsi="Arial" w:cs="Arial"/>
          <w:sz w:val="24"/>
          <w:szCs w:val="24"/>
          <w:lang w:val="en-US"/>
        </w:rPr>
      </w:pPr>
    </w:p>
    <w:p w:rsidR="00B40618" w:rsidRDefault="00B40618" w:rsidP="00B40618">
      <w:pPr>
        <w:pStyle w:val="Sinespaciado"/>
        <w:jc w:val="both"/>
        <w:rPr>
          <w:rFonts w:ascii="Arial" w:hAnsi="Arial" w:cs="Arial"/>
          <w:sz w:val="24"/>
          <w:szCs w:val="24"/>
          <w:lang w:val="en-US"/>
        </w:rPr>
      </w:pPr>
    </w:p>
    <w:p w:rsidR="00B40618" w:rsidRPr="00B40618" w:rsidRDefault="00B40618" w:rsidP="00B40618">
      <w:pPr>
        <w:pStyle w:val="Sinespaciado"/>
        <w:spacing w:line="480" w:lineRule="auto"/>
        <w:jc w:val="both"/>
        <w:rPr>
          <w:rFonts w:cs="Arial"/>
          <w:color w:val="7030A0"/>
          <w:sz w:val="28"/>
          <w:szCs w:val="24"/>
        </w:rPr>
      </w:pPr>
      <w:r w:rsidRPr="00B40618">
        <w:rPr>
          <w:rFonts w:cs="Arial"/>
          <w:color w:val="7030A0"/>
          <w:sz w:val="28"/>
          <w:szCs w:val="24"/>
        </w:rPr>
        <w:t>Introducción</w:t>
      </w:r>
    </w:p>
    <w:p w:rsidR="00B40618" w:rsidRPr="00B40618" w:rsidRDefault="00B40618" w:rsidP="00B40618">
      <w:pPr>
        <w:pStyle w:val="Sinespaciado"/>
        <w:spacing w:line="360" w:lineRule="auto"/>
        <w:jc w:val="both"/>
        <w:rPr>
          <w:rFonts w:ascii="Times New Roman" w:hAnsi="Times New Roman" w:cs="Times New Roman"/>
          <w:sz w:val="24"/>
          <w:szCs w:val="24"/>
        </w:rPr>
      </w:pPr>
      <w:r w:rsidRPr="00B40618">
        <w:rPr>
          <w:rFonts w:ascii="Times New Roman" w:hAnsi="Times New Roman" w:cs="Times New Roman"/>
          <w:sz w:val="24"/>
          <w:szCs w:val="24"/>
        </w:rPr>
        <w:t xml:space="preserve">Es posible afirmar que el tránsito hacia la transformación por la democracia de diversos países latinoamericanos, en consonancia con el impacto tecnológico de los gobiernos y parlamentos abiertos, ha aumentado las expectativas de los ciudadanos respecto a sus instituciones democráticas —particularmente las de corte representativo—, como medios para la agregación y discusión de demandas de interés público. El arribo democrático a la región latinoamericana ofrecía las oportunidades a dichas instituciones para adaptarse y adecuarse a las exigencias democráticas a través de procesos de modernización institucional y tecnológica. </w:t>
      </w:r>
    </w:p>
    <w:p w:rsidR="00B40618" w:rsidRPr="00B40618" w:rsidRDefault="00B40618" w:rsidP="00B40618">
      <w:pPr>
        <w:pStyle w:val="Sinespaciado"/>
        <w:spacing w:line="360" w:lineRule="auto"/>
        <w:jc w:val="both"/>
        <w:rPr>
          <w:rFonts w:ascii="Times New Roman" w:hAnsi="Times New Roman" w:cs="Times New Roman"/>
          <w:sz w:val="24"/>
          <w:szCs w:val="24"/>
        </w:rPr>
      </w:pPr>
      <w:r w:rsidRPr="00B40618">
        <w:rPr>
          <w:rFonts w:ascii="Times New Roman" w:hAnsi="Times New Roman" w:cs="Times New Roman"/>
          <w:sz w:val="24"/>
          <w:szCs w:val="24"/>
        </w:rPr>
        <w:t xml:space="preserve">En el caso de los Congresos, estos prometían particular interés pues al retomar su función fiscalizadora y representativa, contribuirían con las expectativas ciudadanas de gozar de una democracia de calidad que acercara la representación nacional a una ciudadanía incrédula de gobiernos autoritarios, ineficientes y corruptos. El proceso de transformación institucional ha variado de país en país, pero en general se puede decir, coincidiendo en parte con Elice (2010) y Ampuero (2005), que la “modernización” de los Congresos se ha limitado a la incorporación de nuevas técnicas y tecnologías que de alguna manera han facilitado las actividades legislativas. </w:t>
      </w:r>
    </w:p>
    <w:p w:rsidR="00B40618" w:rsidRPr="00B40618" w:rsidRDefault="00B40618" w:rsidP="00B40618">
      <w:pPr>
        <w:pStyle w:val="Sinespaciado"/>
        <w:spacing w:line="360" w:lineRule="auto"/>
        <w:jc w:val="both"/>
        <w:rPr>
          <w:rFonts w:ascii="Times New Roman" w:hAnsi="Times New Roman" w:cs="Times New Roman"/>
          <w:sz w:val="24"/>
          <w:szCs w:val="24"/>
        </w:rPr>
      </w:pPr>
      <w:r w:rsidRPr="00B40618">
        <w:rPr>
          <w:rFonts w:ascii="Times New Roman" w:hAnsi="Times New Roman" w:cs="Times New Roman"/>
          <w:sz w:val="24"/>
          <w:szCs w:val="24"/>
        </w:rPr>
        <w:t xml:space="preserve">Es decir, los cambios han favorecido la gestión legislativa, el acceso a la información, la transparencia y de alguna forma la participación ciudadana en las decisiones legislativas; sin embargo, las expectativas tecnológicas no garantizan del todo cambios profundos en las prácticas políticas, en la representación y aún menos en la rendición de cuentas, situación que coloca a los Congresos en una complicada crisis de credibilidad y confianza, donde particularmente las asambleas latinoamericanas se han distinguido por su descrédito y falta de legitimidad.  </w:t>
      </w:r>
    </w:p>
    <w:p w:rsidR="00B40618" w:rsidRPr="00B40618" w:rsidRDefault="00B40618" w:rsidP="00B40618">
      <w:pPr>
        <w:tabs>
          <w:tab w:val="left" w:pos="-720"/>
        </w:tabs>
        <w:spacing w:line="360" w:lineRule="auto"/>
        <w:jc w:val="both"/>
        <w:rPr>
          <w:lang w:val="es-MX"/>
        </w:rPr>
      </w:pPr>
      <w:r w:rsidRPr="00B40618">
        <w:rPr>
          <w:lang w:val="es-MX"/>
        </w:rPr>
        <w:t xml:space="preserve">El resultado de este rechazo es perturbador si se observa  a la luz de los datos registrados por el latinobarómetro en su informe 2015, sobre percepción democrática. La región se destaca por la mala evaluación de las instituciones democráticas, particularmente los partidos y los Congresos. Respecto a estos últimos, los datos proporcionados por el índice presentado a lo largo de veinte años (1995-2015) destacan que los países que mejor evalúan a sus legislaturas son Uruguay y Ecuador, donde menos de la mitad de los entrevistados </w:t>
      </w:r>
      <w:r w:rsidRPr="00B40618">
        <w:rPr>
          <w:lang w:val="es-MX"/>
        </w:rPr>
        <w:lastRenderedPageBreak/>
        <w:t>opinó tener mucha y algo de confianza en sus Congresos (46%). Del lado contrario, los peor calificados fueron los Congresos de Perú, Colombia, Chile y Guatemala con cifras que oscilan entre 85 y 76 %, países donde opinan tener poca o ninguna confianza en sus legislaturas. En lugares como México, Venezuela y Bolivia, 60% dijo tener una percepción negativa de su parlamento.</w:t>
      </w:r>
      <w:r w:rsidRPr="00B40618">
        <w:rPr>
          <w:rStyle w:val="Refdenotaalpie"/>
          <w:lang w:val="es-MX"/>
        </w:rPr>
        <w:footnoteReference w:id="1"/>
      </w:r>
      <w:r w:rsidRPr="00B40618">
        <w:rPr>
          <w:lang w:val="es-MX"/>
        </w:rPr>
        <w:t xml:space="preserve"> </w:t>
      </w:r>
    </w:p>
    <w:p w:rsidR="00B40618" w:rsidRPr="00B40618" w:rsidRDefault="00B40618" w:rsidP="00B40618">
      <w:pPr>
        <w:tabs>
          <w:tab w:val="left" w:pos="-720"/>
        </w:tabs>
        <w:spacing w:line="360" w:lineRule="auto"/>
        <w:jc w:val="both"/>
        <w:rPr>
          <w:lang w:val="es-MX"/>
        </w:rPr>
      </w:pPr>
      <w:r w:rsidRPr="00B40618">
        <w:rPr>
          <w:lang w:val="es-ES_tradnl"/>
        </w:rPr>
        <w:t>Alcántara Sáez et al. (2005), explican este hecho en términos de los problemas de consolidación democrática, estructuras débiles que han funcionado como: herramientas ratificadoras en manos de los regímenes autoritarios; su baja capacidad técnica y política frente al Ejecutivo; la ausencia o inadecuada utilización de mecanismos institucionales de interacción con la sociedad civil le ha impedido acercar la representación a la ciudadanía. Al mismo tiempo, ha sido difícil desarraigar prácticas como el manejo de los Congresos bajo criterios patrimonialistas sin ningún apego técnico; todo ello ha generado entre la población percepciones de desconfianza y baja estima en relación con otras instituciones públicas.</w:t>
      </w:r>
      <w:r w:rsidRPr="00B40618">
        <w:rPr>
          <w:rStyle w:val="Refdenotaalpie"/>
          <w:lang w:val="es-ES_tradnl"/>
        </w:rPr>
        <w:footnoteReference w:id="2"/>
      </w:r>
      <w:r w:rsidRPr="00B40618">
        <w:rPr>
          <w:lang w:val="es-ES_tradnl"/>
        </w:rPr>
        <w:t xml:space="preserve"> </w:t>
      </w:r>
    </w:p>
    <w:p w:rsidR="00B40618" w:rsidRPr="00B40618" w:rsidRDefault="00B40618" w:rsidP="00B40618">
      <w:pPr>
        <w:pStyle w:val="Sinespaciado"/>
        <w:spacing w:line="360" w:lineRule="auto"/>
        <w:jc w:val="both"/>
        <w:rPr>
          <w:rFonts w:ascii="Times New Roman" w:hAnsi="Times New Roman" w:cs="Times New Roman"/>
          <w:sz w:val="24"/>
          <w:szCs w:val="24"/>
        </w:rPr>
      </w:pPr>
      <w:r w:rsidRPr="00B40618">
        <w:rPr>
          <w:rFonts w:ascii="Times New Roman" w:hAnsi="Times New Roman" w:cs="Times New Roman"/>
          <w:sz w:val="24"/>
          <w:szCs w:val="24"/>
        </w:rPr>
        <w:t xml:space="preserve">No obstante las debilidades estructurales inherentes a los Congresos latinoamericanos, es innegable que hoy día las instituciones legislativas de la región buscan fortalecerse pues la crisis representa una oportunidad para equilibrar su peso respecto a los Ejecutivos, integrar a la representación política, la participación ciudadana, ampliar los canales de interacción social y promover la </w:t>
      </w:r>
      <w:r w:rsidRPr="00B40618">
        <w:rPr>
          <w:rFonts w:ascii="Times New Roman" w:hAnsi="Times New Roman" w:cs="Times New Roman"/>
          <w:sz w:val="24"/>
          <w:szCs w:val="24"/>
          <w:lang w:val="pt-PT"/>
        </w:rPr>
        <w:t>re</w:t>
      </w:r>
      <w:r w:rsidRPr="00B40618">
        <w:rPr>
          <w:rFonts w:ascii="Times New Roman" w:hAnsi="Times New Roman" w:cs="Times New Roman"/>
          <w:sz w:val="24"/>
          <w:szCs w:val="24"/>
        </w:rPr>
        <w:t xml:space="preserve">ndición de cuentas, la transparencia y la evaluación de los Congresos. </w:t>
      </w:r>
    </w:p>
    <w:p w:rsidR="00B40618" w:rsidRPr="00B40618" w:rsidRDefault="00B40618" w:rsidP="00B40618">
      <w:pPr>
        <w:pStyle w:val="Sinespaciado"/>
        <w:spacing w:line="360" w:lineRule="auto"/>
        <w:jc w:val="both"/>
        <w:rPr>
          <w:rFonts w:ascii="Times New Roman" w:hAnsi="Times New Roman" w:cs="Times New Roman"/>
          <w:sz w:val="24"/>
          <w:szCs w:val="24"/>
        </w:rPr>
      </w:pPr>
      <w:r w:rsidRPr="00B40618">
        <w:rPr>
          <w:rFonts w:ascii="Times New Roman" w:hAnsi="Times New Roman" w:cs="Times New Roman"/>
          <w:sz w:val="24"/>
          <w:szCs w:val="24"/>
        </w:rPr>
        <w:t>En la actualidad ha habido una serie de cambios que aluden a tres elementos</w:t>
      </w:r>
      <w:r w:rsidRPr="00B40618">
        <w:rPr>
          <w:rFonts w:ascii="Times New Roman" w:hAnsi="Times New Roman" w:cs="Times New Roman"/>
          <w:sz w:val="24"/>
          <w:szCs w:val="24"/>
          <w:lang w:val="es-MX"/>
        </w:rPr>
        <w:t>: 1) la rendición de cuentas, el equilibrio de poderes y la reelección; 2) los sistemas de información legislativa y de la calidad de dicha información y; 3) el acceso ciudadano a la información y su incidencia</w:t>
      </w:r>
      <w:r w:rsidRPr="00B40618">
        <w:rPr>
          <w:rFonts w:ascii="Times New Roman" w:hAnsi="Times New Roman" w:cs="Times New Roman"/>
          <w:sz w:val="24"/>
          <w:szCs w:val="24"/>
          <w:lang w:val="es-ES"/>
        </w:rPr>
        <w:t xml:space="preserve"> </w:t>
      </w:r>
      <w:r w:rsidRPr="00B40618">
        <w:rPr>
          <w:rFonts w:ascii="Times New Roman" w:hAnsi="Times New Roman" w:cs="Times New Roman"/>
          <w:sz w:val="24"/>
          <w:szCs w:val="24"/>
          <w:lang w:val="es-MX"/>
        </w:rPr>
        <w:t xml:space="preserve">en las decisiones legislativas. El primer elemento se observará bajo el doble papel que cumple el Poder legislativo en términos de rendición de cuentas, como agente y sujeto de la rendición, en otras palabras, es un ente que vigila y controla a su </w:t>
      </w:r>
      <w:r w:rsidRPr="00B40618">
        <w:rPr>
          <w:rFonts w:ascii="Times New Roman" w:hAnsi="Times New Roman" w:cs="Times New Roman"/>
          <w:sz w:val="24"/>
          <w:szCs w:val="24"/>
          <w:lang w:val="es-MX"/>
        </w:rPr>
        <w:lastRenderedPageBreak/>
        <w:t xml:space="preserve">contraparte Ejecutiva, al tiempo que es sujeto de la rendición de cuentas mediante la elección y la capacidad de control ciudadano sobre sus legisladores a través de la reelección como elemento que incentiva el vínculo y el compromiso del legislador con su electorado y la capacidad ciudadana de evaluar el desempeño de su representante. </w:t>
      </w:r>
    </w:p>
    <w:p w:rsidR="005E3AC9" w:rsidRDefault="00B40618" w:rsidP="00B40618">
      <w:pPr>
        <w:spacing w:line="360" w:lineRule="auto"/>
        <w:jc w:val="both"/>
        <w:rPr>
          <w:lang w:val="es-MX"/>
        </w:rPr>
      </w:pPr>
      <w:r w:rsidRPr="00B40618">
        <w:rPr>
          <w:lang w:val="es-MX"/>
        </w:rPr>
        <w:t>Los sistemas de información, como segunda premisa, son fundamentales para el cumplimiento del primero en tanto que la calidad de la información reduce la asimetría entre el Ejecutivo y el Legislativo y entre el Legislativo y los ciudadanos. El tercer elemento abordará la capacidad de los ciudadanos para incidir en aquellos parlamentos abiertos cuyos criterios incluyen el acceso a la información de calidad, así como estructuras de integración a la participación ciudadana.</w:t>
      </w:r>
    </w:p>
    <w:p w:rsidR="00B40618" w:rsidRPr="00B40618" w:rsidRDefault="00B40618" w:rsidP="00B40618">
      <w:pPr>
        <w:spacing w:line="360" w:lineRule="auto"/>
        <w:jc w:val="both"/>
        <w:rPr>
          <w:lang w:val="es-MX"/>
        </w:rPr>
      </w:pPr>
      <w:r w:rsidRPr="00B40618">
        <w:rPr>
          <w:lang w:val="es-MX"/>
        </w:rPr>
        <w:t xml:space="preserve"> </w:t>
      </w:r>
    </w:p>
    <w:p w:rsidR="00B40618" w:rsidRPr="00B40618" w:rsidRDefault="00B40618" w:rsidP="00B40618">
      <w:pPr>
        <w:pStyle w:val="Cuerpo"/>
        <w:spacing w:before="120" w:after="120" w:line="360" w:lineRule="auto"/>
        <w:jc w:val="both"/>
        <w:rPr>
          <w:rFonts w:hAnsi="Times New Roman" w:cs="Times New Roman"/>
          <w:b/>
        </w:rPr>
      </w:pPr>
      <w:r w:rsidRPr="00B40618">
        <w:rPr>
          <w:rFonts w:hAnsi="Times New Roman" w:cs="Times New Roman"/>
          <w:b/>
          <w:lang w:val="fr-FR"/>
        </w:rPr>
        <w:t>La rendici</w:t>
      </w:r>
      <w:r w:rsidRPr="00B40618">
        <w:rPr>
          <w:rFonts w:hAnsi="Times New Roman" w:cs="Times New Roman"/>
          <w:b/>
        </w:rPr>
        <w:t>ón de cuentas en el poder legislativo</w:t>
      </w:r>
    </w:p>
    <w:p w:rsidR="00B40618" w:rsidRPr="00B40618" w:rsidRDefault="00B40618" w:rsidP="00B40618">
      <w:pPr>
        <w:pStyle w:val="Cuerpo"/>
        <w:spacing w:before="120" w:after="120" w:line="360" w:lineRule="auto"/>
        <w:jc w:val="both"/>
        <w:rPr>
          <w:rFonts w:hAnsi="Times New Roman" w:cs="Times New Roman"/>
          <w:lang w:val="es-ES"/>
        </w:rPr>
      </w:pPr>
      <w:r w:rsidRPr="00B40618">
        <w:rPr>
          <w:rFonts w:hAnsi="Times New Roman" w:cs="Times New Roman"/>
          <w:lang w:val="fr-FR"/>
        </w:rPr>
        <w:t>La rendici</w:t>
      </w:r>
      <w:r w:rsidRPr="00B40618">
        <w:rPr>
          <w:rFonts w:hAnsi="Times New Roman" w:cs="Times New Roman"/>
        </w:rPr>
        <w:t>ón de cuentas implica una lógica de control del desempeño a partir de la evaluación</w:t>
      </w:r>
      <w:r w:rsidRPr="00B40618">
        <w:rPr>
          <w:rFonts w:hAnsi="Times New Roman" w:cs="Times New Roman"/>
          <w:lang w:val="pt-PT"/>
        </w:rPr>
        <w:t xml:space="preserve"> previa. Tal desempe</w:t>
      </w:r>
      <w:r w:rsidRPr="00B40618">
        <w:rPr>
          <w:rFonts w:hAnsi="Times New Roman" w:cs="Times New Roman"/>
        </w:rPr>
        <w:t xml:space="preserve">ño está investido de elementos que garantizan la transparencia, el acceso a la información, la responsabilidad de quien ejerce la función pública </w:t>
      </w:r>
      <w:r w:rsidRPr="00B40618">
        <w:rPr>
          <w:rFonts w:hAnsi="Times New Roman" w:cs="Times New Roman"/>
          <w:lang w:val="es-ES"/>
        </w:rPr>
        <w:t>y la sanción en caso de acciones incorrectas en la decisión.</w:t>
      </w:r>
      <w:r w:rsidRPr="00B40618">
        <w:rPr>
          <w:rStyle w:val="Refdenotaalpie"/>
          <w:rFonts w:hAnsi="Times New Roman" w:cs="Times New Roman"/>
          <w:lang w:val="es-ES"/>
        </w:rPr>
        <w:footnoteReference w:id="3"/>
      </w:r>
    </w:p>
    <w:p w:rsidR="00B40618" w:rsidRPr="00F85CDA" w:rsidRDefault="00B40618" w:rsidP="00B40618">
      <w:pPr>
        <w:pStyle w:val="Cuerpo"/>
        <w:spacing w:before="120" w:after="120" w:line="360" w:lineRule="auto"/>
        <w:jc w:val="both"/>
        <w:rPr>
          <w:rFonts w:ascii="Arial" w:hAnsi="Arial" w:cs="Arial"/>
        </w:rPr>
      </w:pPr>
      <w:r w:rsidRPr="00B40618">
        <w:rPr>
          <w:rFonts w:hAnsi="Times New Roman" w:cs="Times New Roman"/>
        </w:rPr>
        <w:t>En el Poder Legislativo, la rendición de cuentas es un tanto difusa en la medida en la que se puede identificar desde distintos ámbitos</w:t>
      </w:r>
      <w:r w:rsidRPr="00B40618">
        <w:rPr>
          <w:rFonts w:hAnsi="Times New Roman" w:cs="Times New Roman"/>
          <w:lang w:val="pt-PT"/>
        </w:rPr>
        <w:t>. Anal</w:t>
      </w:r>
      <w:r w:rsidRPr="00B40618">
        <w:rPr>
          <w:rFonts w:hAnsi="Times New Roman" w:cs="Times New Roman"/>
        </w:rPr>
        <w:t xml:space="preserve">íticamente, O´ Donnell (1998) incluye dos tipos de rendición de cuentas: la horizontal y la vertical. La primera consiste en la existencia de agencias estatales con autoridad legal, encargadas de vigilar y sancionar el desempeño y el uso adecuado de los recursos por parte de los funcionarios públicos y de las instituciones del Estado. </w:t>
      </w:r>
      <w:r w:rsidRPr="00B40618">
        <w:rPr>
          <w:rFonts w:hAnsi="Times New Roman" w:cs="Times New Roman"/>
          <w:lang w:val="es-ES"/>
        </w:rPr>
        <w:t>La rendición de cuentas horizontal es sobresaliente</w:t>
      </w:r>
      <w:r w:rsidRPr="00B40618">
        <w:rPr>
          <w:rFonts w:hAnsi="Times New Roman" w:cs="Times New Roman"/>
        </w:rPr>
        <w:t xml:space="preserve"> en tanto que se somete al Estado en su conjunto dado que “…nadie es dueño de la autoridad, esta es prestada por la ciudadanía mediante elecciones competitivas” (O´Donnell, 2007, p. 37); de </w:t>
      </w:r>
      <w:r w:rsidRPr="00B40618">
        <w:rPr>
          <w:rFonts w:hAnsi="Times New Roman" w:cs="Times New Roman"/>
        </w:rPr>
        <w:lastRenderedPageBreak/>
        <w:t xml:space="preserve">esta forma, los mecanismos que operan este tipo de </w:t>
      </w:r>
      <w:r w:rsidRPr="00B40618">
        <w:rPr>
          <w:rFonts w:hAnsi="Times New Roman" w:cs="Times New Roman"/>
          <w:lang w:val="es-ES"/>
        </w:rPr>
        <w:t>rendición de cuentas</w:t>
      </w:r>
      <w:r w:rsidRPr="00B40618">
        <w:rPr>
          <w:rFonts w:hAnsi="Times New Roman" w:cs="Times New Roman"/>
        </w:rPr>
        <w:t xml:space="preserve"> se traducen en sistemas de pesos y contrapesos </w:t>
      </w:r>
      <w:r w:rsidRPr="00B40618">
        <w:rPr>
          <w:rFonts w:hAnsi="Times New Roman" w:cs="Times New Roman"/>
          <w:lang w:val="es-ES"/>
        </w:rPr>
        <w:t>propios de</w:t>
      </w:r>
      <w:r w:rsidRPr="00B40618">
        <w:rPr>
          <w:rFonts w:hAnsi="Times New Roman" w:cs="Times New Roman"/>
        </w:rPr>
        <w:t xml:space="preserve"> los sistemas presidenciales.</w:t>
      </w:r>
      <w:r w:rsidRPr="00F85CDA">
        <w:rPr>
          <w:rFonts w:ascii="Arial" w:hAnsi="Arial" w:cs="Arial"/>
        </w:rPr>
        <w:t xml:space="preserve"> </w:t>
      </w:r>
    </w:p>
    <w:tbl>
      <w:tblPr>
        <w:tblStyle w:val="TableNormal"/>
        <w:tblW w:w="898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80"/>
      </w:tblGrid>
      <w:tr w:rsidR="00B40618" w:rsidRPr="00130951" w:rsidTr="005E3AC9">
        <w:trPr>
          <w:trHeight w:val="300"/>
          <w:jc w:val="center"/>
        </w:trPr>
        <w:tc>
          <w:tcPr>
            <w:tcW w:w="8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0618" w:rsidRPr="00F85CDA" w:rsidRDefault="00B40618" w:rsidP="00CE4D96">
            <w:pPr>
              <w:pStyle w:val="Cuerpo"/>
              <w:jc w:val="both"/>
              <w:rPr>
                <w:rFonts w:ascii="Arial" w:hAnsi="Arial" w:cs="Arial"/>
              </w:rPr>
            </w:pPr>
            <w:r w:rsidRPr="00F85CDA">
              <w:rPr>
                <w:rFonts w:ascii="Arial" w:hAnsi="Arial" w:cs="Arial"/>
              </w:rPr>
              <w:t>Cuadro 1.  Rendición de cuentas y  Poder Legislativo</w:t>
            </w:r>
          </w:p>
        </w:tc>
      </w:tr>
      <w:tr w:rsidR="00B40618" w:rsidRPr="00F85CDA" w:rsidTr="005E3AC9">
        <w:trPr>
          <w:trHeight w:val="2929"/>
          <w:jc w:val="center"/>
        </w:trPr>
        <w:tc>
          <w:tcPr>
            <w:tcW w:w="8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0618" w:rsidRPr="00F85CDA" w:rsidRDefault="00B40618" w:rsidP="00CE4D96">
            <w:pPr>
              <w:pStyle w:val="Cuerpo"/>
              <w:jc w:val="both"/>
              <w:rPr>
                <w:rFonts w:ascii="Arial" w:hAnsi="Arial" w:cs="Arial"/>
              </w:rPr>
            </w:pPr>
            <w:r w:rsidRPr="00F85CDA">
              <w:rPr>
                <w:rFonts w:ascii="Arial" w:hAnsi="Arial" w:cs="Arial"/>
                <w:noProof/>
                <w:color w:val="auto"/>
                <w:bdr w:val="none" w:sz="0" w:space="0" w:color="auto"/>
                <w:lang w:val="es-MX" w:eastAsia="es-MX"/>
              </w:rPr>
              <mc:AlternateContent>
                <mc:Choice Requires="wps">
                  <w:drawing>
                    <wp:anchor distT="0" distB="0" distL="114300" distR="114300" simplePos="0" relativeHeight="251659264" behindDoc="0" locked="0" layoutInCell="1" allowOverlap="1" wp14:anchorId="2F6FB8B8" wp14:editId="6C0E4368">
                      <wp:simplePos x="0" y="0"/>
                      <wp:positionH relativeFrom="column">
                        <wp:posOffset>840723</wp:posOffset>
                      </wp:positionH>
                      <wp:positionV relativeFrom="paragraph">
                        <wp:posOffset>-9010</wp:posOffset>
                      </wp:positionV>
                      <wp:extent cx="228600" cy="512805"/>
                      <wp:effectExtent l="38100" t="0" r="19050" b="20955"/>
                      <wp:wrapNone/>
                      <wp:docPr id="1" name="1 Abrir llave"/>
                      <wp:cNvGraphicFramePr/>
                      <a:graphic xmlns:a="http://schemas.openxmlformats.org/drawingml/2006/main">
                        <a:graphicData uri="http://schemas.microsoft.com/office/word/2010/wordprocessingShape">
                          <wps:wsp>
                            <wps:cNvSpPr/>
                            <wps:spPr>
                              <a:xfrm>
                                <a:off x="0" y="0"/>
                                <a:ext cx="228600" cy="51280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7C2E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1 Abrir llave" o:spid="_x0000_s1026" type="#_x0000_t87" style="position:absolute;margin-left:66.2pt;margin-top:-.7pt;width:18pt;height:4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" adj="802" strokecolor="#4579b8 [3044]"/>
                  </w:pict>
                </mc:Fallback>
              </mc:AlternateContent>
            </w:r>
            <w:r w:rsidRPr="00F85CDA">
              <w:rPr>
                <w:rFonts w:ascii="Arial" w:hAnsi="Arial" w:cs="Arial"/>
              </w:rPr>
              <w:t>Horizontal                 - Balance   (sistemas de control y distribución de poder)</w:t>
            </w:r>
          </w:p>
          <w:p w:rsidR="00B40618" w:rsidRPr="00F85CDA" w:rsidRDefault="00B40618" w:rsidP="00CE4D96">
            <w:pPr>
              <w:pStyle w:val="Cuerpo"/>
              <w:jc w:val="both"/>
              <w:rPr>
                <w:rFonts w:ascii="Arial" w:hAnsi="Arial" w:cs="Arial"/>
              </w:rPr>
            </w:pPr>
          </w:p>
          <w:p w:rsidR="00B40618" w:rsidRPr="00F85CDA" w:rsidRDefault="00B40618" w:rsidP="00CE4D96">
            <w:pPr>
              <w:pStyle w:val="Cuerpo"/>
              <w:jc w:val="both"/>
              <w:rPr>
                <w:rFonts w:ascii="Arial" w:hAnsi="Arial" w:cs="Arial"/>
              </w:rPr>
            </w:pPr>
            <w:r w:rsidRPr="00F85CDA">
              <w:rPr>
                <w:rFonts w:ascii="Arial" w:hAnsi="Arial" w:cs="Arial"/>
              </w:rPr>
              <w:t xml:space="preserve"> (agente)                   -  Asignada (sistemas de fiscalización intern</w:t>
            </w:r>
            <w:r>
              <w:rPr>
                <w:rFonts w:ascii="Arial" w:hAnsi="Arial" w:cs="Arial"/>
              </w:rPr>
              <w:t>a</w:t>
            </w:r>
            <w:r w:rsidRPr="00F85CDA">
              <w:rPr>
                <w:rFonts w:ascii="Arial" w:hAnsi="Arial" w:cs="Arial"/>
              </w:rPr>
              <w:t>)</w:t>
            </w:r>
          </w:p>
          <w:p w:rsidR="00B40618" w:rsidRPr="00F85CDA" w:rsidRDefault="00B40618" w:rsidP="00CE4D96">
            <w:pPr>
              <w:pStyle w:val="Cuerpo"/>
              <w:jc w:val="both"/>
              <w:rPr>
                <w:rFonts w:ascii="Arial" w:hAnsi="Arial" w:cs="Arial"/>
              </w:rPr>
            </w:pPr>
          </w:p>
          <w:p w:rsidR="00B40618" w:rsidRPr="00F85CDA" w:rsidRDefault="00B40618" w:rsidP="00CE4D96">
            <w:pPr>
              <w:pStyle w:val="Cuerpo"/>
              <w:jc w:val="both"/>
              <w:rPr>
                <w:rFonts w:ascii="Arial" w:hAnsi="Arial" w:cs="Arial"/>
              </w:rPr>
            </w:pPr>
          </w:p>
          <w:p w:rsidR="00B40618" w:rsidRPr="00F85CDA" w:rsidRDefault="00B40618" w:rsidP="00CE4D96">
            <w:pPr>
              <w:pStyle w:val="Cuerpo"/>
              <w:jc w:val="both"/>
              <w:rPr>
                <w:rFonts w:ascii="Arial" w:hAnsi="Arial" w:cs="Arial"/>
              </w:rPr>
            </w:pPr>
            <w:r w:rsidRPr="00F85CDA">
              <w:rPr>
                <w:rFonts w:ascii="Arial" w:hAnsi="Arial" w:cs="Arial"/>
                <w:noProof/>
                <w:bdr w:val="none" w:sz="0" w:space="0" w:color="auto"/>
                <w:lang w:val="es-MX" w:eastAsia="es-MX"/>
              </w:rPr>
              <mc:AlternateContent>
                <mc:Choice Requires="wps">
                  <w:drawing>
                    <wp:anchor distT="0" distB="0" distL="114300" distR="114300" simplePos="0" relativeHeight="251660288" behindDoc="0" locked="0" layoutInCell="1" allowOverlap="1" wp14:anchorId="7A3CE171" wp14:editId="0CA1A537">
                      <wp:simplePos x="0" y="0"/>
                      <wp:positionH relativeFrom="column">
                        <wp:posOffset>840723</wp:posOffset>
                      </wp:positionH>
                      <wp:positionV relativeFrom="paragraph">
                        <wp:posOffset>8324</wp:posOffset>
                      </wp:positionV>
                      <wp:extent cx="228600" cy="895865"/>
                      <wp:effectExtent l="38100" t="0" r="19050" b="19050"/>
                      <wp:wrapNone/>
                      <wp:docPr id="2" name="2 Abrir llave"/>
                      <wp:cNvGraphicFramePr/>
                      <a:graphic xmlns:a="http://schemas.openxmlformats.org/drawingml/2006/main">
                        <a:graphicData uri="http://schemas.microsoft.com/office/word/2010/wordprocessingShape">
                          <wps:wsp>
                            <wps:cNvSpPr/>
                            <wps:spPr>
                              <a:xfrm>
                                <a:off x="0" y="0"/>
                                <a:ext cx="228600" cy="89586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CAFA9" id="2 Abrir llave" o:spid="_x0000_s1026" type="#_x0000_t87" style="position:absolute;margin-left:66.2pt;margin-top:.65pt;width:18pt;height:7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" adj="459" strokecolor="#4579b8 [3044]"/>
                  </w:pict>
                </mc:Fallback>
              </mc:AlternateContent>
            </w:r>
            <w:r w:rsidRPr="00F85CDA">
              <w:rPr>
                <w:rFonts w:ascii="Arial" w:hAnsi="Arial" w:cs="Arial"/>
              </w:rPr>
              <w:t xml:space="preserve">                                 - Electoral (con sistemas de reelección e información del  </w:t>
            </w:r>
          </w:p>
          <w:p w:rsidR="00B40618" w:rsidRPr="00F85CDA" w:rsidRDefault="00B40618" w:rsidP="00CE4D96">
            <w:pPr>
              <w:pStyle w:val="Cuerpo"/>
              <w:jc w:val="both"/>
              <w:rPr>
                <w:rFonts w:ascii="Arial" w:hAnsi="Arial" w:cs="Arial"/>
              </w:rPr>
            </w:pPr>
            <w:r w:rsidRPr="00F85CDA">
              <w:rPr>
                <w:rFonts w:ascii="Arial" w:hAnsi="Arial" w:cs="Arial"/>
              </w:rPr>
              <w:t xml:space="preserve"> Vertical                       representante, ejerce control electoral)</w:t>
            </w:r>
          </w:p>
          <w:p w:rsidR="00B40618" w:rsidRPr="00F85CDA" w:rsidRDefault="00B40618" w:rsidP="00CE4D96">
            <w:pPr>
              <w:pStyle w:val="Cuerpo"/>
              <w:jc w:val="both"/>
              <w:rPr>
                <w:rFonts w:ascii="Arial" w:hAnsi="Arial" w:cs="Arial"/>
              </w:rPr>
            </w:pPr>
          </w:p>
          <w:p w:rsidR="00B40618" w:rsidRPr="00F85CDA" w:rsidRDefault="00B40618" w:rsidP="00CE4D96">
            <w:pPr>
              <w:pStyle w:val="Cuerpo"/>
              <w:jc w:val="both"/>
              <w:rPr>
                <w:rFonts w:ascii="Arial" w:hAnsi="Arial" w:cs="Arial"/>
                <w:lang w:val="es-ES"/>
              </w:rPr>
            </w:pPr>
            <w:r w:rsidRPr="00F85CDA">
              <w:rPr>
                <w:rFonts w:ascii="Arial" w:hAnsi="Arial" w:cs="Arial"/>
              </w:rPr>
              <w:t xml:space="preserve"> (sujeto)                    - Social (sistemas de participación ciudadana vinculatoria y </w:t>
            </w:r>
            <w:r w:rsidRPr="00F85CDA">
              <w:rPr>
                <w:rFonts w:ascii="Arial" w:hAnsi="Arial" w:cs="Arial"/>
                <w:lang w:val="es-ES"/>
              </w:rPr>
              <w:t xml:space="preserve">                  </w:t>
            </w:r>
          </w:p>
          <w:p w:rsidR="00B40618" w:rsidRPr="00F85CDA" w:rsidRDefault="00B40618" w:rsidP="00CE4D96">
            <w:pPr>
              <w:pStyle w:val="Cuerpo"/>
              <w:jc w:val="both"/>
              <w:rPr>
                <w:rFonts w:ascii="Arial" w:hAnsi="Arial" w:cs="Arial"/>
              </w:rPr>
            </w:pPr>
            <w:r w:rsidRPr="00F85CDA">
              <w:rPr>
                <w:rFonts w:ascii="Arial" w:hAnsi="Arial" w:cs="Arial"/>
                <w:lang w:val="es-ES"/>
              </w:rPr>
              <w:t xml:space="preserve">                                    </w:t>
            </w:r>
            <w:r w:rsidRPr="00F85CDA">
              <w:rPr>
                <w:rFonts w:ascii="Arial" w:hAnsi="Arial" w:cs="Arial"/>
              </w:rPr>
              <w:t>acceso a la información de las decisiones legislativas,</w:t>
            </w:r>
          </w:p>
          <w:p w:rsidR="00B40618" w:rsidRPr="00F85CDA" w:rsidRDefault="00B40618" w:rsidP="00CE4D96">
            <w:pPr>
              <w:pStyle w:val="Cuerpo"/>
              <w:jc w:val="both"/>
              <w:rPr>
                <w:rFonts w:ascii="Arial" w:hAnsi="Arial" w:cs="Arial"/>
                <w:lang w:val="es-ES"/>
              </w:rPr>
            </w:pPr>
            <w:r w:rsidRPr="00F85CDA">
              <w:rPr>
                <w:rFonts w:ascii="Arial" w:hAnsi="Arial" w:cs="Arial"/>
              </w:rPr>
              <w:t xml:space="preserve">                                    ejerce control legislativo)</w:t>
            </w:r>
          </w:p>
        </w:tc>
      </w:tr>
    </w:tbl>
    <w:p w:rsidR="00B40618" w:rsidRPr="00F85CDA" w:rsidRDefault="00B40618" w:rsidP="00B40618">
      <w:pPr>
        <w:pStyle w:val="Cuerpo"/>
        <w:jc w:val="both"/>
        <w:rPr>
          <w:rFonts w:ascii="Arial" w:hAnsi="Arial" w:cs="Arial"/>
          <w:sz w:val="20"/>
          <w:szCs w:val="20"/>
        </w:rPr>
      </w:pPr>
    </w:p>
    <w:p w:rsidR="00B40618" w:rsidRPr="00F85CDA" w:rsidRDefault="00B40618" w:rsidP="005E3AC9">
      <w:pPr>
        <w:pStyle w:val="Cuerpo"/>
        <w:jc w:val="center"/>
        <w:rPr>
          <w:rFonts w:ascii="Arial" w:hAnsi="Arial" w:cs="Arial"/>
          <w:sz w:val="20"/>
          <w:szCs w:val="20"/>
        </w:rPr>
      </w:pPr>
      <w:r w:rsidRPr="00F85CDA">
        <w:rPr>
          <w:rFonts w:ascii="Arial" w:hAnsi="Arial" w:cs="Arial"/>
          <w:sz w:val="20"/>
          <w:szCs w:val="20"/>
        </w:rPr>
        <w:t>Elaboración</w:t>
      </w:r>
      <w:r>
        <w:rPr>
          <w:rFonts w:ascii="Arial" w:hAnsi="Arial" w:cs="Arial"/>
          <w:sz w:val="20"/>
          <w:szCs w:val="20"/>
        </w:rPr>
        <w:t>:</w:t>
      </w:r>
      <w:r w:rsidRPr="00F85CDA">
        <w:rPr>
          <w:rFonts w:ascii="Arial" w:hAnsi="Arial" w:cs="Arial"/>
          <w:sz w:val="20"/>
          <w:szCs w:val="20"/>
        </w:rPr>
        <w:t xml:space="preserve"> propia</w:t>
      </w:r>
      <w:r>
        <w:rPr>
          <w:rFonts w:ascii="Arial" w:hAnsi="Arial" w:cs="Arial"/>
          <w:sz w:val="20"/>
          <w:szCs w:val="20"/>
        </w:rPr>
        <w:t xml:space="preserve"> con base en</w:t>
      </w:r>
      <w:r w:rsidRPr="00F85CDA">
        <w:rPr>
          <w:rFonts w:ascii="Arial" w:hAnsi="Arial" w:cs="Arial"/>
          <w:sz w:val="20"/>
          <w:szCs w:val="20"/>
        </w:rPr>
        <w:t xml:space="preserve"> Casar, Marván y Puente</w:t>
      </w:r>
      <w:r>
        <w:rPr>
          <w:rFonts w:ascii="Arial" w:hAnsi="Arial" w:cs="Arial"/>
          <w:sz w:val="20"/>
          <w:szCs w:val="20"/>
        </w:rPr>
        <w:t xml:space="preserve"> (</w:t>
      </w:r>
      <w:r w:rsidRPr="00F85CDA">
        <w:rPr>
          <w:rFonts w:ascii="Arial" w:hAnsi="Arial" w:cs="Arial"/>
          <w:sz w:val="20"/>
          <w:szCs w:val="20"/>
        </w:rPr>
        <w:t>2010</w:t>
      </w:r>
      <w:r>
        <w:rPr>
          <w:rFonts w:ascii="Arial" w:hAnsi="Arial" w:cs="Arial"/>
          <w:sz w:val="20"/>
          <w:szCs w:val="20"/>
        </w:rPr>
        <w:t>)</w:t>
      </w:r>
      <w:r w:rsidRPr="00F85CDA">
        <w:rPr>
          <w:rFonts w:ascii="Arial" w:hAnsi="Arial" w:cs="Arial"/>
          <w:sz w:val="20"/>
          <w:szCs w:val="20"/>
        </w:rPr>
        <w:t>;</w:t>
      </w:r>
      <w:r>
        <w:rPr>
          <w:rFonts w:ascii="Arial" w:hAnsi="Arial" w:cs="Arial"/>
          <w:sz w:val="20"/>
          <w:szCs w:val="20"/>
        </w:rPr>
        <w:t xml:space="preserve"> </w:t>
      </w:r>
      <w:r w:rsidRPr="00F85CDA">
        <w:rPr>
          <w:rFonts w:ascii="Arial" w:hAnsi="Arial" w:cs="Arial"/>
          <w:sz w:val="20"/>
          <w:szCs w:val="20"/>
        </w:rPr>
        <w:t>O´Donnell</w:t>
      </w:r>
      <w:r>
        <w:rPr>
          <w:rFonts w:ascii="Arial" w:hAnsi="Arial" w:cs="Arial"/>
          <w:sz w:val="20"/>
          <w:szCs w:val="20"/>
        </w:rPr>
        <w:t xml:space="preserve"> (</w:t>
      </w:r>
      <w:r w:rsidRPr="00F85CDA">
        <w:rPr>
          <w:rFonts w:ascii="Arial" w:hAnsi="Arial" w:cs="Arial"/>
          <w:sz w:val="20"/>
          <w:szCs w:val="20"/>
        </w:rPr>
        <w:t>1998</w:t>
      </w:r>
      <w:r>
        <w:rPr>
          <w:rFonts w:ascii="Arial" w:hAnsi="Arial" w:cs="Arial"/>
          <w:sz w:val="20"/>
          <w:szCs w:val="20"/>
        </w:rPr>
        <w:t>) y</w:t>
      </w:r>
      <w:r w:rsidRPr="00F85CDA">
        <w:rPr>
          <w:rFonts w:ascii="Arial" w:hAnsi="Arial" w:cs="Arial"/>
          <w:sz w:val="20"/>
          <w:szCs w:val="20"/>
        </w:rPr>
        <w:t xml:space="preserve"> </w:t>
      </w:r>
      <w:r>
        <w:rPr>
          <w:rFonts w:ascii="Arial" w:hAnsi="Arial" w:cs="Arial"/>
          <w:sz w:val="20"/>
          <w:szCs w:val="20"/>
        </w:rPr>
        <w:t>C</w:t>
      </w:r>
      <w:r w:rsidRPr="00F85CDA">
        <w:rPr>
          <w:rFonts w:ascii="Arial" w:hAnsi="Arial" w:cs="Arial"/>
          <w:sz w:val="20"/>
          <w:szCs w:val="20"/>
        </w:rPr>
        <w:t>unil</w:t>
      </w:r>
      <w:r>
        <w:rPr>
          <w:rFonts w:ascii="Arial" w:hAnsi="Arial" w:cs="Arial"/>
          <w:sz w:val="20"/>
          <w:szCs w:val="20"/>
        </w:rPr>
        <w:t>l (</w:t>
      </w:r>
      <w:r w:rsidRPr="00F85CDA">
        <w:rPr>
          <w:rFonts w:ascii="Arial" w:hAnsi="Arial" w:cs="Arial"/>
          <w:sz w:val="20"/>
          <w:szCs w:val="20"/>
        </w:rPr>
        <w:t>2007).</w:t>
      </w:r>
    </w:p>
    <w:p w:rsidR="00B40618" w:rsidRDefault="00B40618" w:rsidP="00B40618">
      <w:pPr>
        <w:pStyle w:val="Cuerpo"/>
        <w:spacing w:before="120" w:after="120" w:line="360" w:lineRule="auto"/>
        <w:jc w:val="both"/>
        <w:rPr>
          <w:rFonts w:ascii="Arial" w:hAnsi="Arial" w:cs="Arial"/>
          <w:b/>
        </w:rPr>
      </w:pPr>
    </w:p>
    <w:p w:rsidR="00B40618" w:rsidRPr="00B40618" w:rsidRDefault="00B40618" w:rsidP="00B40618">
      <w:pPr>
        <w:pStyle w:val="Cuerpo"/>
        <w:spacing w:before="120" w:after="120" w:line="360" w:lineRule="auto"/>
        <w:jc w:val="both"/>
        <w:rPr>
          <w:rFonts w:hAnsi="Times New Roman" w:cs="Times New Roman"/>
          <w:b/>
        </w:rPr>
      </w:pPr>
      <w:r w:rsidRPr="00B40618">
        <w:rPr>
          <w:rFonts w:hAnsi="Times New Roman" w:cs="Times New Roman"/>
          <w:b/>
        </w:rPr>
        <w:t>Equilibrio de poderes y la rendición de cuentas horizontal</w:t>
      </w:r>
    </w:p>
    <w:p w:rsidR="00B40618" w:rsidRPr="00B40618" w:rsidRDefault="00B40618" w:rsidP="00B40618">
      <w:pPr>
        <w:pStyle w:val="Cuerpo"/>
        <w:spacing w:before="120" w:after="120" w:line="360" w:lineRule="auto"/>
        <w:jc w:val="both"/>
        <w:rPr>
          <w:rFonts w:hAnsi="Times New Roman" w:cs="Times New Roman"/>
          <w:lang w:val="es-ES"/>
        </w:rPr>
      </w:pPr>
      <w:r w:rsidRPr="00B40618">
        <w:rPr>
          <w:rFonts w:hAnsi="Times New Roman" w:cs="Times New Roman"/>
        </w:rPr>
        <w:t>Para O’</w:t>
      </w:r>
      <w:r w:rsidRPr="00B40618">
        <w:rPr>
          <w:rFonts w:hAnsi="Times New Roman" w:cs="Times New Roman"/>
          <w:lang w:val="es-ES"/>
        </w:rPr>
        <w:t>Donnell (1998</w:t>
      </w:r>
      <w:r w:rsidRPr="00B40618">
        <w:rPr>
          <w:rFonts w:hAnsi="Times New Roman" w:cs="Times New Roman"/>
        </w:rPr>
        <w:t xml:space="preserve">) la rendición de cuentas horizontal en sistemas presidenciales se divide a su vez en dos subtipos: de balance y asignada. La de balance evita la concentración de poder en alguno de los tres poderes (Ejecutivo, Legislativo y Judicial). Cada institución reacciona cuando otro poder invade su jurisdicción (control institucional). El segundo subtipo (asignada) identifica aquellas instituciones que vigilan y sancionan las acciones de otras organizaciones estatales, nacionales o municipales con la finalidad de evitar y prevenir el manejo ilegal de los recursos (control de los funcionarios públicos). Esto es, la rendición de cuentas horizontal funciona como instrumento de control, contrapeso y distribución de poder entre el Ejecutivo y el Legislativo, así como el control de decisiones de los propios órganos de gobierno a través de los sistemas de fiscalización internos (auditorías, </w:t>
      </w:r>
      <w:r w:rsidRPr="00B40618">
        <w:rPr>
          <w:rFonts w:hAnsi="Times New Roman" w:cs="Times New Roman"/>
          <w:i/>
        </w:rPr>
        <w:t>ombudsman</w:t>
      </w:r>
      <w:r w:rsidRPr="00B40618">
        <w:rPr>
          <w:rFonts w:hAnsi="Times New Roman" w:cs="Times New Roman"/>
        </w:rPr>
        <w:t>, etcétera),</w:t>
      </w:r>
      <w:r w:rsidRPr="00B40618">
        <w:rPr>
          <w:rFonts w:hAnsi="Times New Roman" w:cs="Times New Roman"/>
          <w:lang w:val="es-ES"/>
        </w:rPr>
        <w:t xml:space="preserve"> (Casar, Marvan y Puente, 2010).</w:t>
      </w:r>
      <w:r w:rsidRPr="00B40618">
        <w:rPr>
          <w:rStyle w:val="Refdenotaalpie"/>
          <w:rFonts w:hAnsi="Times New Roman" w:cs="Times New Roman"/>
          <w:lang w:val="es-ES"/>
        </w:rPr>
        <w:footnoteReference w:id="4"/>
      </w:r>
      <w:r w:rsidRPr="00B40618">
        <w:rPr>
          <w:rFonts w:hAnsi="Times New Roman" w:cs="Times New Roman"/>
          <w:lang w:val="es-ES"/>
        </w:rPr>
        <w:t xml:space="preserve"> </w:t>
      </w:r>
    </w:p>
    <w:p w:rsidR="00B40618" w:rsidRDefault="00B40618" w:rsidP="00B40618">
      <w:pPr>
        <w:pStyle w:val="Textopredeterminado"/>
        <w:spacing w:line="360" w:lineRule="auto"/>
        <w:ind w:right="44"/>
        <w:jc w:val="both"/>
        <w:rPr>
          <w:szCs w:val="24"/>
          <w:lang w:val="es-MX"/>
        </w:rPr>
      </w:pPr>
      <w:r w:rsidRPr="00B40618">
        <w:rPr>
          <w:szCs w:val="24"/>
          <w:lang w:val="es-MX"/>
        </w:rPr>
        <w:t xml:space="preserve">Sin embargo, dichos instrumentos dependen del tipo de construcción del equilibrio institucional entre poderes. La región latinoamericana ha experimentado la caída paulatina </w:t>
      </w:r>
      <w:r w:rsidRPr="00B40618">
        <w:rPr>
          <w:szCs w:val="24"/>
          <w:lang w:val="es-MX"/>
        </w:rPr>
        <w:lastRenderedPageBreak/>
        <w:t>de regímenes autoritarios por otros de tipo democrático, en este tránsito, se ha intentado modernizar y consolidar a los nuevos estados democráticos, sin embargo, lo que se observa es una debilidad en sus diseños institucionales, derivados de las transformaciones de sus propios regímenes. Estas debilidades se intentaron fortalecer en América Latina con reformas constitucionales. De acuerdo con Negretto (2009), dos tendencias son las que marcan esta dinámica de cambios constitucionales de 1978 a 2011. La primera está constituida por países que generaron una nueva constitución (Argentina, Brasil, Chile, Colombia, Ecuador, El Salvador, Guatemala, Honduras, Nicaragua, Paraguay, Perú, República Dominicana y Venezuela). Esta tendencia ha estado acompañada de diversos procesos que originaron la sustitución de regímenes autoritarios por democráticos; cuando el régimen autoritario saliente había reemplazado la constitución democrática anterior, el país carecía de experiencia democrática previa, o bien la última constitución democrática había caído en desprestigio. La segunda tendencia es de países que optaron por reformas constitucionales profundas que modificaron sus sistemas políticos, electorales, judiciales y de rendición de cuentas en ciertos casos, como es el caso de Costa Rica, México, Panamá y Uruguay.</w:t>
      </w:r>
    </w:p>
    <w:p w:rsidR="005E3AC9" w:rsidRDefault="005E3AC9" w:rsidP="00B40618">
      <w:pPr>
        <w:pStyle w:val="Textopredeterminado"/>
        <w:spacing w:line="360" w:lineRule="auto"/>
        <w:ind w:right="44"/>
        <w:jc w:val="both"/>
        <w:rPr>
          <w:szCs w:val="24"/>
          <w:lang w:val="es-MX"/>
        </w:rPr>
      </w:pPr>
    </w:p>
    <w:p w:rsidR="005E3AC9" w:rsidRDefault="005E3AC9" w:rsidP="00B40618">
      <w:pPr>
        <w:pStyle w:val="Textopredeterminado"/>
        <w:spacing w:line="360" w:lineRule="auto"/>
        <w:ind w:right="44"/>
        <w:jc w:val="both"/>
        <w:rPr>
          <w:szCs w:val="24"/>
          <w:lang w:val="es-MX"/>
        </w:rPr>
      </w:pPr>
    </w:p>
    <w:p w:rsidR="005E3AC9" w:rsidRDefault="005E3AC9" w:rsidP="00B40618">
      <w:pPr>
        <w:pStyle w:val="Textopredeterminado"/>
        <w:spacing w:line="360" w:lineRule="auto"/>
        <w:ind w:right="44"/>
        <w:jc w:val="both"/>
        <w:rPr>
          <w:szCs w:val="24"/>
          <w:lang w:val="es-MX"/>
        </w:rPr>
      </w:pPr>
    </w:p>
    <w:p w:rsidR="005E3AC9" w:rsidRDefault="005E3AC9" w:rsidP="00B40618">
      <w:pPr>
        <w:pStyle w:val="Textopredeterminado"/>
        <w:spacing w:line="360" w:lineRule="auto"/>
        <w:ind w:right="44"/>
        <w:jc w:val="both"/>
        <w:rPr>
          <w:szCs w:val="24"/>
          <w:lang w:val="es-MX"/>
        </w:rPr>
      </w:pPr>
    </w:p>
    <w:p w:rsidR="005E3AC9" w:rsidRDefault="005E3AC9" w:rsidP="00B40618">
      <w:pPr>
        <w:pStyle w:val="Textopredeterminado"/>
        <w:spacing w:line="360" w:lineRule="auto"/>
        <w:ind w:right="44"/>
        <w:jc w:val="both"/>
        <w:rPr>
          <w:szCs w:val="24"/>
          <w:lang w:val="es-MX"/>
        </w:rPr>
      </w:pPr>
    </w:p>
    <w:p w:rsidR="005E3AC9" w:rsidRDefault="005E3AC9" w:rsidP="00B40618">
      <w:pPr>
        <w:pStyle w:val="Textopredeterminado"/>
        <w:spacing w:line="360" w:lineRule="auto"/>
        <w:ind w:right="44"/>
        <w:jc w:val="both"/>
        <w:rPr>
          <w:szCs w:val="24"/>
          <w:lang w:val="es-MX"/>
        </w:rPr>
      </w:pPr>
    </w:p>
    <w:p w:rsidR="005E3AC9" w:rsidRDefault="005E3AC9" w:rsidP="00B40618">
      <w:pPr>
        <w:pStyle w:val="Textopredeterminado"/>
        <w:spacing w:line="360" w:lineRule="auto"/>
        <w:ind w:right="44"/>
        <w:jc w:val="both"/>
        <w:rPr>
          <w:szCs w:val="24"/>
          <w:lang w:val="es-MX"/>
        </w:rPr>
      </w:pPr>
    </w:p>
    <w:p w:rsidR="005E3AC9" w:rsidRDefault="005E3AC9" w:rsidP="00B40618">
      <w:pPr>
        <w:pStyle w:val="Textopredeterminado"/>
        <w:spacing w:line="360" w:lineRule="auto"/>
        <w:ind w:right="44"/>
        <w:jc w:val="both"/>
        <w:rPr>
          <w:szCs w:val="24"/>
          <w:lang w:val="es-MX"/>
        </w:rPr>
      </w:pPr>
    </w:p>
    <w:p w:rsidR="005E3AC9" w:rsidRDefault="005E3AC9" w:rsidP="00B40618">
      <w:pPr>
        <w:pStyle w:val="Textopredeterminado"/>
        <w:spacing w:line="360" w:lineRule="auto"/>
        <w:ind w:right="44"/>
        <w:jc w:val="both"/>
        <w:rPr>
          <w:szCs w:val="24"/>
          <w:lang w:val="es-MX"/>
        </w:rPr>
      </w:pPr>
    </w:p>
    <w:p w:rsidR="005E3AC9" w:rsidRDefault="005E3AC9" w:rsidP="00B40618">
      <w:pPr>
        <w:pStyle w:val="Textopredeterminado"/>
        <w:spacing w:line="360" w:lineRule="auto"/>
        <w:ind w:right="44"/>
        <w:jc w:val="both"/>
        <w:rPr>
          <w:szCs w:val="24"/>
          <w:lang w:val="es-MX"/>
        </w:rPr>
      </w:pPr>
    </w:p>
    <w:p w:rsidR="005E3AC9" w:rsidRDefault="005E3AC9" w:rsidP="00B40618">
      <w:pPr>
        <w:pStyle w:val="Textopredeterminado"/>
        <w:spacing w:line="360" w:lineRule="auto"/>
        <w:ind w:right="44"/>
        <w:jc w:val="both"/>
        <w:rPr>
          <w:szCs w:val="24"/>
          <w:lang w:val="es-MX"/>
        </w:rPr>
      </w:pPr>
    </w:p>
    <w:p w:rsidR="005E3AC9" w:rsidRDefault="005E3AC9" w:rsidP="00B40618">
      <w:pPr>
        <w:pStyle w:val="Textopredeterminado"/>
        <w:spacing w:line="360" w:lineRule="auto"/>
        <w:ind w:right="44"/>
        <w:jc w:val="both"/>
        <w:rPr>
          <w:szCs w:val="24"/>
          <w:lang w:val="es-MX"/>
        </w:rPr>
      </w:pPr>
    </w:p>
    <w:p w:rsidR="005E3AC9" w:rsidRDefault="005E3AC9" w:rsidP="00B40618">
      <w:pPr>
        <w:pStyle w:val="Textopredeterminado"/>
        <w:spacing w:line="360" w:lineRule="auto"/>
        <w:ind w:right="44"/>
        <w:jc w:val="both"/>
        <w:rPr>
          <w:szCs w:val="24"/>
          <w:lang w:val="es-MX"/>
        </w:rPr>
      </w:pPr>
    </w:p>
    <w:p w:rsidR="005E3AC9" w:rsidRDefault="005E3AC9" w:rsidP="00B40618">
      <w:pPr>
        <w:pStyle w:val="Textopredeterminado"/>
        <w:spacing w:line="360" w:lineRule="auto"/>
        <w:ind w:right="44"/>
        <w:jc w:val="both"/>
        <w:rPr>
          <w:szCs w:val="24"/>
          <w:lang w:val="es-MX"/>
        </w:rPr>
      </w:pPr>
    </w:p>
    <w:p w:rsidR="005E3AC9" w:rsidRDefault="005E3AC9" w:rsidP="00B40618">
      <w:pPr>
        <w:pStyle w:val="Textopredeterminado"/>
        <w:spacing w:line="360" w:lineRule="auto"/>
        <w:ind w:right="44"/>
        <w:jc w:val="both"/>
        <w:rPr>
          <w:szCs w:val="24"/>
          <w:lang w:val="es-MX"/>
        </w:rPr>
      </w:pPr>
    </w:p>
    <w:p w:rsidR="005E3AC9" w:rsidRDefault="005E3AC9" w:rsidP="00B40618">
      <w:pPr>
        <w:pStyle w:val="Textopredeterminado"/>
        <w:spacing w:line="360" w:lineRule="auto"/>
        <w:ind w:right="44"/>
        <w:jc w:val="both"/>
        <w:rPr>
          <w:szCs w:val="24"/>
          <w:lang w:val="es-MX"/>
        </w:rPr>
      </w:pPr>
    </w:p>
    <w:p w:rsidR="005E3AC9" w:rsidRDefault="005E3AC9" w:rsidP="00B40618">
      <w:pPr>
        <w:pStyle w:val="Textopredeterminado"/>
        <w:spacing w:line="360" w:lineRule="auto"/>
        <w:ind w:right="44"/>
        <w:jc w:val="both"/>
        <w:rPr>
          <w:rFonts w:ascii="Arial" w:hAnsi="Arial" w:cs="Arial"/>
          <w:szCs w:val="24"/>
          <w:lang w:val="es-MX"/>
        </w:rPr>
      </w:pPr>
    </w:p>
    <w:p w:rsidR="00B40618" w:rsidRPr="00C242CB" w:rsidRDefault="00B40618" w:rsidP="00B40618">
      <w:pPr>
        <w:pStyle w:val="Textopredeterminado"/>
        <w:spacing w:line="360" w:lineRule="auto"/>
        <w:ind w:right="44"/>
        <w:jc w:val="both"/>
        <w:rPr>
          <w:rFonts w:ascii="Arial" w:hAnsi="Arial" w:cs="Arial"/>
          <w:szCs w:val="24"/>
          <w:lang w:val="es-MX"/>
        </w:rPr>
      </w:pPr>
    </w:p>
    <w:tbl>
      <w:tblPr>
        <w:tblStyle w:val="Tablaconcuadrcula"/>
        <w:tblW w:w="5000" w:type="pct"/>
        <w:jc w:val="center"/>
        <w:tblLook w:val="04A0" w:firstRow="1" w:lastRow="0" w:firstColumn="1" w:lastColumn="0" w:noHBand="0" w:noVBand="1"/>
      </w:tblPr>
      <w:tblGrid>
        <w:gridCol w:w="2617"/>
        <w:gridCol w:w="2790"/>
        <w:gridCol w:w="2297"/>
        <w:gridCol w:w="1350"/>
      </w:tblGrid>
      <w:tr w:rsidR="00B40618" w:rsidRPr="00130951" w:rsidTr="005E3AC9">
        <w:trPr>
          <w:trHeight w:val="300"/>
          <w:jc w:val="center"/>
        </w:trPr>
        <w:tc>
          <w:tcPr>
            <w:tcW w:w="5000" w:type="pct"/>
            <w:gridSpan w:val="4"/>
            <w:noWrap/>
          </w:tcPr>
          <w:p w:rsidR="00B40618" w:rsidRPr="00F85CDA" w:rsidRDefault="00B40618" w:rsidP="00CE4D96">
            <w:pPr>
              <w:rPr>
                <w:rFonts w:ascii="Arial" w:hAnsi="Arial" w:cs="Arial"/>
                <w:lang w:val="es-MX"/>
              </w:rPr>
            </w:pPr>
            <w:r w:rsidRPr="00F85CDA">
              <w:rPr>
                <w:rFonts w:ascii="Arial" w:hAnsi="Arial" w:cs="Arial"/>
                <w:lang w:val="es-MX"/>
              </w:rPr>
              <w:t>Cuadro 2. Reemplazos y Reformas Constitucionales en América Latina</w:t>
            </w:r>
          </w:p>
        </w:tc>
      </w:tr>
      <w:tr w:rsidR="00B40618" w:rsidRPr="00F85CDA" w:rsidTr="005E3AC9">
        <w:trPr>
          <w:trHeight w:val="300"/>
          <w:jc w:val="center"/>
        </w:trPr>
        <w:tc>
          <w:tcPr>
            <w:tcW w:w="1161" w:type="pct"/>
            <w:noWrap/>
            <w:hideMark/>
          </w:tcPr>
          <w:p w:rsidR="00B40618" w:rsidRPr="00F85CDA" w:rsidRDefault="00B40618" w:rsidP="00CE4D96">
            <w:pPr>
              <w:rPr>
                <w:rFonts w:ascii="Arial" w:hAnsi="Arial" w:cs="Arial"/>
              </w:rPr>
            </w:pPr>
            <w:r w:rsidRPr="00F85CDA">
              <w:rPr>
                <w:rFonts w:ascii="Arial" w:hAnsi="Arial" w:cs="Arial"/>
              </w:rPr>
              <w:t xml:space="preserve">País </w:t>
            </w:r>
          </w:p>
        </w:tc>
        <w:tc>
          <w:tcPr>
            <w:tcW w:w="1646" w:type="pct"/>
            <w:noWrap/>
            <w:hideMark/>
          </w:tcPr>
          <w:p w:rsidR="00B40618" w:rsidRPr="00F85CDA" w:rsidRDefault="00B40618" w:rsidP="00CE4D96">
            <w:pPr>
              <w:rPr>
                <w:rFonts w:ascii="Arial" w:hAnsi="Arial" w:cs="Arial"/>
              </w:rPr>
            </w:pPr>
            <w:r w:rsidRPr="00F85CDA">
              <w:rPr>
                <w:rFonts w:ascii="Arial" w:hAnsi="Arial" w:cs="Arial"/>
              </w:rPr>
              <w:t xml:space="preserve">Constituciones Vigentes </w:t>
            </w:r>
          </w:p>
        </w:tc>
        <w:tc>
          <w:tcPr>
            <w:tcW w:w="1336" w:type="pct"/>
            <w:noWrap/>
            <w:hideMark/>
          </w:tcPr>
          <w:p w:rsidR="00B40618" w:rsidRPr="00F85CDA" w:rsidRDefault="00B40618" w:rsidP="00CE4D96">
            <w:pPr>
              <w:rPr>
                <w:rFonts w:ascii="Arial" w:hAnsi="Arial" w:cs="Arial"/>
              </w:rPr>
            </w:pPr>
            <w:r w:rsidRPr="00F85CDA">
              <w:rPr>
                <w:rFonts w:ascii="Arial" w:hAnsi="Arial" w:cs="Arial"/>
              </w:rPr>
              <w:t xml:space="preserve">Nueva Constitución </w:t>
            </w:r>
          </w:p>
        </w:tc>
        <w:tc>
          <w:tcPr>
            <w:tcW w:w="857" w:type="pct"/>
            <w:noWrap/>
            <w:hideMark/>
          </w:tcPr>
          <w:p w:rsidR="00B40618" w:rsidRPr="00F85CDA" w:rsidRDefault="00B40618" w:rsidP="00CE4D96">
            <w:pPr>
              <w:rPr>
                <w:rFonts w:ascii="Arial" w:hAnsi="Arial" w:cs="Arial"/>
              </w:rPr>
            </w:pPr>
            <w:r w:rsidRPr="00F85CDA">
              <w:rPr>
                <w:rFonts w:ascii="Arial" w:hAnsi="Arial" w:cs="Arial"/>
              </w:rPr>
              <w:t xml:space="preserve">Reformas* </w:t>
            </w:r>
          </w:p>
        </w:tc>
      </w:tr>
      <w:tr w:rsidR="00B40618" w:rsidRPr="00F85CDA" w:rsidTr="005E3AC9">
        <w:trPr>
          <w:trHeight w:val="300"/>
          <w:jc w:val="center"/>
        </w:trPr>
        <w:tc>
          <w:tcPr>
            <w:tcW w:w="1161" w:type="pct"/>
            <w:vMerge w:val="restart"/>
            <w:noWrap/>
            <w:hideMark/>
          </w:tcPr>
          <w:p w:rsidR="00B40618" w:rsidRPr="00F85CDA" w:rsidRDefault="00B40618" w:rsidP="00CE4D96">
            <w:pPr>
              <w:rPr>
                <w:rFonts w:ascii="Arial" w:hAnsi="Arial" w:cs="Arial"/>
              </w:rPr>
            </w:pPr>
            <w:r w:rsidRPr="00F85CDA">
              <w:rPr>
                <w:rFonts w:ascii="Arial" w:hAnsi="Arial" w:cs="Arial"/>
              </w:rPr>
              <w:t xml:space="preserve">Argentina </w:t>
            </w:r>
          </w:p>
        </w:tc>
        <w:tc>
          <w:tcPr>
            <w:tcW w:w="1646" w:type="pct"/>
            <w:noWrap/>
            <w:hideMark/>
          </w:tcPr>
          <w:p w:rsidR="00B40618" w:rsidRPr="00F85CDA" w:rsidRDefault="00B40618" w:rsidP="00CE4D96">
            <w:pPr>
              <w:rPr>
                <w:rFonts w:ascii="Arial" w:hAnsi="Arial" w:cs="Arial"/>
              </w:rPr>
            </w:pPr>
            <w:r w:rsidRPr="00F85CDA">
              <w:rPr>
                <w:rFonts w:ascii="Arial" w:hAnsi="Arial" w:cs="Arial"/>
              </w:rPr>
              <w:t>1853</w:t>
            </w:r>
          </w:p>
        </w:tc>
        <w:tc>
          <w:tcPr>
            <w:tcW w:w="1336" w:type="pct"/>
            <w:noWrap/>
            <w:hideMark/>
          </w:tcPr>
          <w:p w:rsidR="00B40618" w:rsidRPr="00F85CDA" w:rsidRDefault="00B40618" w:rsidP="00CE4D96">
            <w:pPr>
              <w:rPr>
                <w:rFonts w:ascii="Arial" w:hAnsi="Arial" w:cs="Arial"/>
              </w:rPr>
            </w:pPr>
            <w:r w:rsidRPr="00F85CDA">
              <w:rPr>
                <w:rFonts w:ascii="Arial" w:hAnsi="Arial" w:cs="Arial"/>
              </w:rPr>
              <w:t> </w:t>
            </w:r>
          </w:p>
        </w:tc>
        <w:tc>
          <w:tcPr>
            <w:tcW w:w="857" w:type="pct"/>
            <w:noWrap/>
            <w:hideMark/>
          </w:tcPr>
          <w:p w:rsidR="00B40618" w:rsidRPr="00F85CDA" w:rsidRDefault="00B40618" w:rsidP="00CE4D96">
            <w:pPr>
              <w:rPr>
                <w:rFonts w:ascii="Arial" w:hAnsi="Arial" w:cs="Arial"/>
              </w:rPr>
            </w:pPr>
            <w:r w:rsidRPr="00F85CDA">
              <w:rPr>
                <w:rFonts w:ascii="Arial" w:hAnsi="Arial" w:cs="Arial"/>
              </w:rPr>
              <w:t>0</w:t>
            </w:r>
          </w:p>
        </w:tc>
      </w:tr>
      <w:tr w:rsidR="00B40618" w:rsidRPr="00F85CDA" w:rsidTr="005E3AC9">
        <w:trPr>
          <w:trHeight w:val="300"/>
          <w:jc w:val="center"/>
        </w:trPr>
        <w:tc>
          <w:tcPr>
            <w:tcW w:w="1161" w:type="pct"/>
            <w:vMerge/>
            <w:hideMark/>
          </w:tcPr>
          <w:p w:rsidR="00B40618" w:rsidRPr="00F85CDA" w:rsidRDefault="00B40618" w:rsidP="00CE4D96">
            <w:pPr>
              <w:rPr>
                <w:rFonts w:ascii="Arial" w:hAnsi="Arial" w:cs="Arial"/>
              </w:rPr>
            </w:pPr>
          </w:p>
        </w:tc>
        <w:tc>
          <w:tcPr>
            <w:tcW w:w="1646" w:type="pct"/>
            <w:noWrap/>
            <w:hideMark/>
          </w:tcPr>
          <w:p w:rsidR="00B40618" w:rsidRPr="00F85CDA" w:rsidRDefault="00B40618" w:rsidP="00CE4D96">
            <w:pPr>
              <w:rPr>
                <w:rFonts w:ascii="Arial" w:hAnsi="Arial" w:cs="Arial"/>
              </w:rPr>
            </w:pPr>
            <w:r w:rsidRPr="00F85CDA">
              <w:rPr>
                <w:rFonts w:ascii="Arial" w:hAnsi="Arial" w:cs="Arial"/>
              </w:rPr>
              <w:t>1994</w:t>
            </w:r>
          </w:p>
        </w:tc>
        <w:tc>
          <w:tcPr>
            <w:tcW w:w="1336" w:type="pct"/>
            <w:noWrap/>
            <w:hideMark/>
          </w:tcPr>
          <w:p w:rsidR="00B40618" w:rsidRPr="00F85CDA" w:rsidRDefault="00B40618" w:rsidP="00CE4D96">
            <w:pPr>
              <w:rPr>
                <w:rFonts w:ascii="Arial" w:hAnsi="Arial" w:cs="Arial"/>
              </w:rPr>
            </w:pPr>
            <w:r w:rsidRPr="00F85CDA">
              <w:rPr>
                <w:rFonts w:ascii="Arial" w:hAnsi="Arial" w:cs="Arial"/>
              </w:rPr>
              <w:t xml:space="preserve">Sí </w:t>
            </w:r>
          </w:p>
        </w:tc>
        <w:tc>
          <w:tcPr>
            <w:tcW w:w="857" w:type="pct"/>
            <w:noWrap/>
            <w:hideMark/>
          </w:tcPr>
          <w:p w:rsidR="00B40618" w:rsidRPr="00F85CDA" w:rsidRDefault="00B40618" w:rsidP="00CE4D96">
            <w:pPr>
              <w:rPr>
                <w:rFonts w:ascii="Arial" w:hAnsi="Arial" w:cs="Arial"/>
              </w:rPr>
            </w:pPr>
            <w:r w:rsidRPr="00F85CDA">
              <w:rPr>
                <w:rFonts w:ascii="Arial" w:hAnsi="Arial" w:cs="Arial"/>
              </w:rPr>
              <w:t>0</w:t>
            </w:r>
          </w:p>
        </w:tc>
      </w:tr>
      <w:tr w:rsidR="00B40618" w:rsidRPr="00F85CDA" w:rsidTr="005E3AC9">
        <w:trPr>
          <w:trHeight w:val="300"/>
          <w:jc w:val="center"/>
        </w:trPr>
        <w:tc>
          <w:tcPr>
            <w:tcW w:w="1161" w:type="pct"/>
            <w:vMerge w:val="restart"/>
            <w:noWrap/>
            <w:hideMark/>
          </w:tcPr>
          <w:p w:rsidR="00B40618" w:rsidRPr="00F85CDA" w:rsidRDefault="00B40618" w:rsidP="00CE4D96">
            <w:pPr>
              <w:rPr>
                <w:rFonts w:ascii="Arial" w:hAnsi="Arial" w:cs="Arial"/>
              </w:rPr>
            </w:pPr>
            <w:r w:rsidRPr="00F85CDA">
              <w:rPr>
                <w:rFonts w:ascii="Arial" w:hAnsi="Arial" w:cs="Arial"/>
              </w:rPr>
              <w:t xml:space="preserve">Bolivia </w:t>
            </w:r>
          </w:p>
        </w:tc>
        <w:tc>
          <w:tcPr>
            <w:tcW w:w="1646" w:type="pct"/>
            <w:noWrap/>
            <w:hideMark/>
          </w:tcPr>
          <w:p w:rsidR="00B40618" w:rsidRPr="00F85CDA" w:rsidRDefault="00B40618" w:rsidP="00CE4D96">
            <w:pPr>
              <w:rPr>
                <w:rFonts w:ascii="Arial" w:hAnsi="Arial" w:cs="Arial"/>
              </w:rPr>
            </w:pPr>
            <w:r w:rsidRPr="00F85CDA">
              <w:rPr>
                <w:rFonts w:ascii="Arial" w:hAnsi="Arial" w:cs="Arial"/>
              </w:rPr>
              <w:t>1967</w:t>
            </w:r>
          </w:p>
        </w:tc>
        <w:tc>
          <w:tcPr>
            <w:tcW w:w="1336" w:type="pct"/>
            <w:noWrap/>
            <w:hideMark/>
          </w:tcPr>
          <w:p w:rsidR="00B40618" w:rsidRPr="00F85CDA" w:rsidRDefault="00B40618" w:rsidP="00CE4D96">
            <w:pPr>
              <w:rPr>
                <w:rFonts w:ascii="Arial" w:hAnsi="Arial" w:cs="Arial"/>
              </w:rPr>
            </w:pPr>
            <w:r w:rsidRPr="00F85CDA">
              <w:rPr>
                <w:rFonts w:ascii="Arial" w:hAnsi="Arial" w:cs="Arial"/>
              </w:rPr>
              <w:t> </w:t>
            </w:r>
          </w:p>
        </w:tc>
        <w:tc>
          <w:tcPr>
            <w:tcW w:w="857" w:type="pct"/>
            <w:noWrap/>
            <w:hideMark/>
          </w:tcPr>
          <w:p w:rsidR="00B40618" w:rsidRPr="00F85CDA" w:rsidRDefault="00B40618" w:rsidP="00CE4D96">
            <w:pPr>
              <w:rPr>
                <w:rFonts w:ascii="Arial" w:hAnsi="Arial" w:cs="Arial"/>
              </w:rPr>
            </w:pPr>
            <w:r w:rsidRPr="00F85CDA">
              <w:rPr>
                <w:rFonts w:ascii="Arial" w:hAnsi="Arial" w:cs="Arial"/>
              </w:rPr>
              <w:t>4</w:t>
            </w:r>
          </w:p>
        </w:tc>
      </w:tr>
      <w:tr w:rsidR="00B40618" w:rsidRPr="00F85CDA" w:rsidTr="005E3AC9">
        <w:trPr>
          <w:trHeight w:val="300"/>
          <w:jc w:val="center"/>
        </w:trPr>
        <w:tc>
          <w:tcPr>
            <w:tcW w:w="1161" w:type="pct"/>
            <w:vMerge/>
            <w:hideMark/>
          </w:tcPr>
          <w:p w:rsidR="00B40618" w:rsidRPr="00F85CDA" w:rsidRDefault="00B40618" w:rsidP="00CE4D96">
            <w:pPr>
              <w:rPr>
                <w:rFonts w:ascii="Arial" w:hAnsi="Arial" w:cs="Arial"/>
              </w:rPr>
            </w:pPr>
          </w:p>
        </w:tc>
        <w:tc>
          <w:tcPr>
            <w:tcW w:w="1646" w:type="pct"/>
            <w:noWrap/>
            <w:hideMark/>
          </w:tcPr>
          <w:p w:rsidR="00B40618" w:rsidRPr="00F85CDA" w:rsidRDefault="00B40618" w:rsidP="00CE4D96">
            <w:pPr>
              <w:rPr>
                <w:rFonts w:ascii="Arial" w:hAnsi="Arial" w:cs="Arial"/>
              </w:rPr>
            </w:pPr>
            <w:r w:rsidRPr="00F85CDA">
              <w:rPr>
                <w:rFonts w:ascii="Arial" w:hAnsi="Arial" w:cs="Arial"/>
              </w:rPr>
              <w:t>2010</w:t>
            </w:r>
          </w:p>
        </w:tc>
        <w:tc>
          <w:tcPr>
            <w:tcW w:w="1336" w:type="pct"/>
            <w:noWrap/>
            <w:hideMark/>
          </w:tcPr>
          <w:p w:rsidR="00B40618" w:rsidRPr="00F85CDA" w:rsidRDefault="00B40618" w:rsidP="00CE4D96">
            <w:pPr>
              <w:rPr>
                <w:rFonts w:ascii="Arial" w:hAnsi="Arial" w:cs="Arial"/>
              </w:rPr>
            </w:pPr>
            <w:r w:rsidRPr="00F85CDA">
              <w:rPr>
                <w:rFonts w:ascii="Arial" w:hAnsi="Arial" w:cs="Arial"/>
              </w:rPr>
              <w:t>Sí</w:t>
            </w:r>
          </w:p>
        </w:tc>
        <w:tc>
          <w:tcPr>
            <w:tcW w:w="857" w:type="pct"/>
            <w:noWrap/>
            <w:hideMark/>
          </w:tcPr>
          <w:p w:rsidR="00B40618" w:rsidRPr="00F85CDA" w:rsidRDefault="00B40618" w:rsidP="00CE4D96">
            <w:pPr>
              <w:rPr>
                <w:rFonts w:ascii="Arial" w:hAnsi="Arial" w:cs="Arial"/>
              </w:rPr>
            </w:pPr>
            <w:r w:rsidRPr="00F85CDA">
              <w:rPr>
                <w:rFonts w:ascii="Arial" w:hAnsi="Arial" w:cs="Arial"/>
              </w:rPr>
              <w:t>0</w:t>
            </w:r>
          </w:p>
        </w:tc>
      </w:tr>
      <w:tr w:rsidR="00B40618" w:rsidRPr="00F85CDA" w:rsidTr="005E3AC9">
        <w:trPr>
          <w:trHeight w:val="300"/>
          <w:jc w:val="center"/>
        </w:trPr>
        <w:tc>
          <w:tcPr>
            <w:tcW w:w="1161" w:type="pct"/>
            <w:noWrap/>
            <w:hideMark/>
          </w:tcPr>
          <w:p w:rsidR="00B40618" w:rsidRPr="00F85CDA" w:rsidRDefault="00B40618" w:rsidP="00CE4D96">
            <w:pPr>
              <w:rPr>
                <w:rFonts w:ascii="Arial" w:hAnsi="Arial" w:cs="Arial"/>
              </w:rPr>
            </w:pPr>
            <w:r w:rsidRPr="00F85CDA">
              <w:rPr>
                <w:rFonts w:ascii="Arial" w:hAnsi="Arial" w:cs="Arial"/>
              </w:rPr>
              <w:t xml:space="preserve">Brasil </w:t>
            </w:r>
          </w:p>
        </w:tc>
        <w:tc>
          <w:tcPr>
            <w:tcW w:w="1646" w:type="pct"/>
            <w:noWrap/>
            <w:hideMark/>
          </w:tcPr>
          <w:p w:rsidR="00B40618" w:rsidRPr="00F85CDA" w:rsidRDefault="00B40618" w:rsidP="00CE4D96">
            <w:pPr>
              <w:rPr>
                <w:rFonts w:ascii="Arial" w:hAnsi="Arial" w:cs="Arial"/>
              </w:rPr>
            </w:pPr>
            <w:r w:rsidRPr="00F85CDA">
              <w:rPr>
                <w:rFonts w:ascii="Arial" w:hAnsi="Arial" w:cs="Arial"/>
              </w:rPr>
              <w:t>1988</w:t>
            </w:r>
          </w:p>
        </w:tc>
        <w:tc>
          <w:tcPr>
            <w:tcW w:w="1336" w:type="pct"/>
            <w:noWrap/>
            <w:hideMark/>
          </w:tcPr>
          <w:p w:rsidR="00B40618" w:rsidRPr="00F85CDA" w:rsidRDefault="00B40618" w:rsidP="00CE4D96">
            <w:pPr>
              <w:rPr>
                <w:rFonts w:ascii="Arial" w:hAnsi="Arial" w:cs="Arial"/>
              </w:rPr>
            </w:pPr>
            <w:r w:rsidRPr="00F85CDA">
              <w:rPr>
                <w:rFonts w:ascii="Arial" w:hAnsi="Arial" w:cs="Arial"/>
              </w:rPr>
              <w:t xml:space="preserve">Sí </w:t>
            </w:r>
          </w:p>
        </w:tc>
        <w:tc>
          <w:tcPr>
            <w:tcW w:w="857" w:type="pct"/>
            <w:noWrap/>
            <w:hideMark/>
          </w:tcPr>
          <w:p w:rsidR="00B40618" w:rsidRPr="00F85CDA" w:rsidRDefault="00B40618" w:rsidP="00CE4D96">
            <w:pPr>
              <w:rPr>
                <w:rFonts w:ascii="Arial" w:hAnsi="Arial" w:cs="Arial"/>
              </w:rPr>
            </w:pPr>
            <w:r w:rsidRPr="00F85CDA">
              <w:rPr>
                <w:rFonts w:ascii="Arial" w:hAnsi="Arial" w:cs="Arial"/>
              </w:rPr>
              <w:t>16</w:t>
            </w:r>
          </w:p>
        </w:tc>
      </w:tr>
      <w:tr w:rsidR="00B40618" w:rsidRPr="00F85CDA" w:rsidTr="005E3AC9">
        <w:trPr>
          <w:trHeight w:val="300"/>
          <w:jc w:val="center"/>
        </w:trPr>
        <w:tc>
          <w:tcPr>
            <w:tcW w:w="1161" w:type="pct"/>
            <w:vMerge w:val="restart"/>
            <w:noWrap/>
            <w:hideMark/>
          </w:tcPr>
          <w:p w:rsidR="00B40618" w:rsidRPr="00F85CDA" w:rsidRDefault="00B40618" w:rsidP="00CE4D96">
            <w:pPr>
              <w:rPr>
                <w:rFonts w:ascii="Arial" w:hAnsi="Arial" w:cs="Arial"/>
              </w:rPr>
            </w:pPr>
            <w:r w:rsidRPr="00F85CDA">
              <w:rPr>
                <w:rFonts w:ascii="Arial" w:hAnsi="Arial" w:cs="Arial"/>
              </w:rPr>
              <w:t xml:space="preserve">Chile </w:t>
            </w:r>
          </w:p>
        </w:tc>
        <w:tc>
          <w:tcPr>
            <w:tcW w:w="1646" w:type="pct"/>
            <w:noWrap/>
            <w:hideMark/>
          </w:tcPr>
          <w:p w:rsidR="00B40618" w:rsidRPr="00F85CDA" w:rsidRDefault="00B40618" w:rsidP="00CE4D96">
            <w:pPr>
              <w:rPr>
                <w:rFonts w:ascii="Arial" w:hAnsi="Arial" w:cs="Arial"/>
              </w:rPr>
            </w:pPr>
            <w:r w:rsidRPr="00F85CDA">
              <w:rPr>
                <w:rFonts w:ascii="Arial" w:hAnsi="Arial" w:cs="Arial"/>
              </w:rPr>
              <w:t>1925</w:t>
            </w:r>
          </w:p>
        </w:tc>
        <w:tc>
          <w:tcPr>
            <w:tcW w:w="1336" w:type="pct"/>
            <w:noWrap/>
            <w:hideMark/>
          </w:tcPr>
          <w:p w:rsidR="00B40618" w:rsidRPr="00F85CDA" w:rsidRDefault="00B40618" w:rsidP="00CE4D96">
            <w:pPr>
              <w:rPr>
                <w:rFonts w:ascii="Arial" w:hAnsi="Arial" w:cs="Arial"/>
              </w:rPr>
            </w:pPr>
            <w:r w:rsidRPr="00F85CDA">
              <w:rPr>
                <w:rFonts w:ascii="Arial" w:hAnsi="Arial" w:cs="Arial"/>
              </w:rPr>
              <w:t> </w:t>
            </w:r>
          </w:p>
        </w:tc>
        <w:tc>
          <w:tcPr>
            <w:tcW w:w="857" w:type="pct"/>
            <w:noWrap/>
            <w:hideMark/>
          </w:tcPr>
          <w:p w:rsidR="00B40618" w:rsidRPr="00F85CDA" w:rsidRDefault="00B40618" w:rsidP="00CE4D96">
            <w:pPr>
              <w:rPr>
                <w:rFonts w:ascii="Arial" w:hAnsi="Arial" w:cs="Arial"/>
              </w:rPr>
            </w:pPr>
            <w:r w:rsidRPr="00F85CDA">
              <w:rPr>
                <w:rFonts w:ascii="Arial" w:hAnsi="Arial" w:cs="Arial"/>
              </w:rPr>
              <w:t>0</w:t>
            </w:r>
          </w:p>
        </w:tc>
      </w:tr>
      <w:tr w:rsidR="00B40618" w:rsidRPr="00F85CDA" w:rsidTr="005E3AC9">
        <w:trPr>
          <w:trHeight w:val="300"/>
          <w:jc w:val="center"/>
        </w:trPr>
        <w:tc>
          <w:tcPr>
            <w:tcW w:w="1161" w:type="pct"/>
            <w:vMerge/>
            <w:hideMark/>
          </w:tcPr>
          <w:p w:rsidR="00B40618" w:rsidRPr="00F85CDA" w:rsidRDefault="00B40618" w:rsidP="00CE4D96">
            <w:pPr>
              <w:rPr>
                <w:rFonts w:ascii="Arial" w:hAnsi="Arial" w:cs="Arial"/>
              </w:rPr>
            </w:pPr>
          </w:p>
        </w:tc>
        <w:tc>
          <w:tcPr>
            <w:tcW w:w="1646" w:type="pct"/>
            <w:noWrap/>
            <w:hideMark/>
          </w:tcPr>
          <w:p w:rsidR="00B40618" w:rsidRPr="00F85CDA" w:rsidRDefault="00B40618" w:rsidP="00CE4D96">
            <w:pPr>
              <w:rPr>
                <w:rFonts w:ascii="Arial" w:hAnsi="Arial" w:cs="Arial"/>
              </w:rPr>
            </w:pPr>
            <w:r w:rsidRPr="00F85CDA">
              <w:rPr>
                <w:rFonts w:ascii="Arial" w:hAnsi="Arial" w:cs="Arial"/>
              </w:rPr>
              <w:t>1980</w:t>
            </w:r>
          </w:p>
        </w:tc>
        <w:tc>
          <w:tcPr>
            <w:tcW w:w="1336" w:type="pct"/>
            <w:noWrap/>
            <w:hideMark/>
          </w:tcPr>
          <w:p w:rsidR="00B40618" w:rsidRPr="00F85CDA" w:rsidRDefault="00B40618" w:rsidP="00CE4D96">
            <w:pPr>
              <w:rPr>
                <w:rFonts w:ascii="Arial" w:hAnsi="Arial" w:cs="Arial"/>
              </w:rPr>
            </w:pPr>
            <w:r w:rsidRPr="00F85CDA">
              <w:rPr>
                <w:rFonts w:ascii="Arial" w:hAnsi="Arial" w:cs="Arial"/>
              </w:rPr>
              <w:t xml:space="preserve">Sí </w:t>
            </w:r>
          </w:p>
        </w:tc>
        <w:tc>
          <w:tcPr>
            <w:tcW w:w="857" w:type="pct"/>
            <w:noWrap/>
            <w:hideMark/>
          </w:tcPr>
          <w:p w:rsidR="00B40618" w:rsidRPr="00F85CDA" w:rsidRDefault="00B40618" w:rsidP="00CE4D96">
            <w:pPr>
              <w:rPr>
                <w:rFonts w:ascii="Arial" w:hAnsi="Arial" w:cs="Arial"/>
              </w:rPr>
            </w:pPr>
            <w:r w:rsidRPr="00F85CDA">
              <w:rPr>
                <w:rFonts w:ascii="Arial" w:hAnsi="Arial" w:cs="Arial"/>
              </w:rPr>
              <w:t>9</w:t>
            </w:r>
          </w:p>
        </w:tc>
      </w:tr>
      <w:tr w:rsidR="00B40618" w:rsidRPr="00F85CDA" w:rsidTr="005E3AC9">
        <w:trPr>
          <w:trHeight w:val="300"/>
          <w:jc w:val="center"/>
        </w:trPr>
        <w:tc>
          <w:tcPr>
            <w:tcW w:w="1161" w:type="pct"/>
            <w:vMerge w:val="restart"/>
            <w:noWrap/>
            <w:hideMark/>
          </w:tcPr>
          <w:p w:rsidR="00B40618" w:rsidRPr="00F85CDA" w:rsidRDefault="00B40618" w:rsidP="00CE4D96">
            <w:pPr>
              <w:rPr>
                <w:rFonts w:ascii="Arial" w:hAnsi="Arial" w:cs="Arial"/>
              </w:rPr>
            </w:pPr>
            <w:r w:rsidRPr="00F85CDA">
              <w:rPr>
                <w:rFonts w:ascii="Arial" w:hAnsi="Arial" w:cs="Arial"/>
              </w:rPr>
              <w:t xml:space="preserve">Colombia </w:t>
            </w:r>
          </w:p>
        </w:tc>
        <w:tc>
          <w:tcPr>
            <w:tcW w:w="1646" w:type="pct"/>
            <w:noWrap/>
            <w:hideMark/>
          </w:tcPr>
          <w:p w:rsidR="00B40618" w:rsidRPr="00F85CDA" w:rsidRDefault="00B40618" w:rsidP="00CE4D96">
            <w:pPr>
              <w:rPr>
                <w:rFonts w:ascii="Arial" w:hAnsi="Arial" w:cs="Arial"/>
              </w:rPr>
            </w:pPr>
            <w:r w:rsidRPr="00F85CDA">
              <w:rPr>
                <w:rFonts w:ascii="Arial" w:hAnsi="Arial" w:cs="Arial"/>
              </w:rPr>
              <w:t>1886</w:t>
            </w:r>
          </w:p>
        </w:tc>
        <w:tc>
          <w:tcPr>
            <w:tcW w:w="1336" w:type="pct"/>
            <w:noWrap/>
            <w:hideMark/>
          </w:tcPr>
          <w:p w:rsidR="00B40618" w:rsidRPr="00F85CDA" w:rsidRDefault="00B40618" w:rsidP="00CE4D96">
            <w:pPr>
              <w:rPr>
                <w:rFonts w:ascii="Arial" w:hAnsi="Arial" w:cs="Arial"/>
              </w:rPr>
            </w:pPr>
            <w:r w:rsidRPr="00F85CDA">
              <w:rPr>
                <w:rFonts w:ascii="Arial" w:hAnsi="Arial" w:cs="Arial"/>
              </w:rPr>
              <w:t> </w:t>
            </w:r>
          </w:p>
        </w:tc>
        <w:tc>
          <w:tcPr>
            <w:tcW w:w="857" w:type="pct"/>
            <w:noWrap/>
            <w:hideMark/>
          </w:tcPr>
          <w:p w:rsidR="00B40618" w:rsidRPr="00F85CDA" w:rsidRDefault="00B40618" w:rsidP="00CE4D96">
            <w:pPr>
              <w:rPr>
                <w:rFonts w:ascii="Arial" w:hAnsi="Arial" w:cs="Arial"/>
              </w:rPr>
            </w:pPr>
            <w:r w:rsidRPr="00F85CDA">
              <w:rPr>
                <w:rFonts w:ascii="Arial" w:hAnsi="Arial" w:cs="Arial"/>
              </w:rPr>
              <w:t>4</w:t>
            </w:r>
          </w:p>
        </w:tc>
      </w:tr>
      <w:tr w:rsidR="00B40618" w:rsidRPr="00F85CDA" w:rsidTr="005E3AC9">
        <w:trPr>
          <w:trHeight w:val="300"/>
          <w:jc w:val="center"/>
        </w:trPr>
        <w:tc>
          <w:tcPr>
            <w:tcW w:w="1161" w:type="pct"/>
            <w:vMerge/>
            <w:hideMark/>
          </w:tcPr>
          <w:p w:rsidR="00B40618" w:rsidRPr="00F85CDA" w:rsidRDefault="00B40618" w:rsidP="00CE4D96">
            <w:pPr>
              <w:rPr>
                <w:rFonts w:ascii="Arial" w:hAnsi="Arial" w:cs="Arial"/>
              </w:rPr>
            </w:pPr>
          </w:p>
        </w:tc>
        <w:tc>
          <w:tcPr>
            <w:tcW w:w="1646" w:type="pct"/>
            <w:noWrap/>
            <w:hideMark/>
          </w:tcPr>
          <w:p w:rsidR="00B40618" w:rsidRPr="00F85CDA" w:rsidRDefault="00B40618" w:rsidP="00CE4D96">
            <w:pPr>
              <w:rPr>
                <w:rFonts w:ascii="Arial" w:hAnsi="Arial" w:cs="Arial"/>
              </w:rPr>
            </w:pPr>
            <w:r w:rsidRPr="00F85CDA">
              <w:rPr>
                <w:rFonts w:ascii="Arial" w:hAnsi="Arial" w:cs="Arial"/>
              </w:rPr>
              <w:t>1991</w:t>
            </w:r>
          </w:p>
        </w:tc>
        <w:tc>
          <w:tcPr>
            <w:tcW w:w="1336" w:type="pct"/>
            <w:noWrap/>
            <w:hideMark/>
          </w:tcPr>
          <w:p w:rsidR="00B40618" w:rsidRPr="00F85CDA" w:rsidRDefault="00B40618" w:rsidP="00CE4D96">
            <w:pPr>
              <w:rPr>
                <w:rFonts w:ascii="Arial" w:hAnsi="Arial" w:cs="Arial"/>
              </w:rPr>
            </w:pPr>
            <w:r w:rsidRPr="00F85CDA">
              <w:rPr>
                <w:rFonts w:ascii="Arial" w:hAnsi="Arial" w:cs="Arial"/>
              </w:rPr>
              <w:t xml:space="preserve">Sí </w:t>
            </w:r>
          </w:p>
        </w:tc>
        <w:tc>
          <w:tcPr>
            <w:tcW w:w="857" w:type="pct"/>
            <w:noWrap/>
            <w:hideMark/>
          </w:tcPr>
          <w:p w:rsidR="00B40618" w:rsidRPr="00F85CDA" w:rsidRDefault="00B40618" w:rsidP="00CE4D96">
            <w:pPr>
              <w:rPr>
                <w:rFonts w:ascii="Arial" w:hAnsi="Arial" w:cs="Arial"/>
              </w:rPr>
            </w:pPr>
            <w:r w:rsidRPr="00F85CDA">
              <w:rPr>
                <w:rFonts w:ascii="Arial" w:hAnsi="Arial" w:cs="Arial"/>
              </w:rPr>
              <w:t>11</w:t>
            </w:r>
          </w:p>
        </w:tc>
      </w:tr>
      <w:tr w:rsidR="00B40618" w:rsidRPr="00F85CDA" w:rsidTr="005E3AC9">
        <w:trPr>
          <w:trHeight w:val="300"/>
          <w:jc w:val="center"/>
        </w:trPr>
        <w:tc>
          <w:tcPr>
            <w:tcW w:w="1161" w:type="pct"/>
            <w:noWrap/>
            <w:hideMark/>
          </w:tcPr>
          <w:p w:rsidR="00B40618" w:rsidRPr="00F85CDA" w:rsidRDefault="00B40618" w:rsidP="00CE4D96">
            <w:pPr>
              <w:rPr>
                <w:rFonts w:ascii="Arial" w:hAnsi="Arial" w:cs="Arial"/>
              </w:rPr>
            </w:pPr>
            <w:r w:rsidRPr="00F85CDA">
              <w:rPr>
                <w:rFonts w:ascii="Arial" w:hAnsi="Arial" w:cs="Arial"/>
              </w:rPr>
              <w:t xml:space="preserve">Costa Rica </w:t>
            </w:r>
          </w:p>
        </w:tc>
        <w:tc>
          <w:tcPr>
            <w:tcW w:w="1646" w:type="pct"/>
            <w:noWrap/>
            <w:hideMark/>
          </w:tcPr>
          <w:p w:rsidR="00B40618" w:rsidRPr="00F85CDA" w:rsidRDefault="00B40618" w:rsidP="00CE4D96">
            <w:pPr>
              <w:rPr>
                <w:rFonts w:ascii="Arial" w:hAnsi="Arial" w:cs="Arial"/>
              </w:rPr>
            </w:pPr>
            <w:r w:rsidRPr="00F85CDA">
              <w:rPr>
                <w:rFonts w:ascii="Arial" w:hAnsi="Arial" w:cs="Arial"/>
              </w:rPr>
              <w:t>1949</w:t>
            </w:r>
          </w:p>
        </w:tc>
        <w:tc>
          <w:tcPr>
            <w:tcW w:w="1336" w:type="pct"/>
            <w:noWrap/>
            <w:hideMark/>
          </w:tcPr>
          <w:p w:rsidR="00B40618" w:rsidRPr="00F85CDA" w:rsidRDefault="00B40618" w:rsidP="00CE4D96">
            <w:pPr>
              <w:rPr>
                <w:rFonts w:ascii="Arial" w:hAnsi="Arial" w:cs="Arial"/>
              </w:rPr>
            </w:pPr>
            <w:r w:rsidRPr="00F85CDA">
              <w:rPr>
                <w:rFonts w:ascii="Arial" w:hAnsi="Arial" w:cs="Arial"/>
              </w:rPr>
              <w:t> </w:t>
            </w:r>
          </w:p>
        </w:tc>
        <w:tc>
          <w:tcPr>
            <w:tcW w:w="857" w:type="pct"/>
            <w:noWrap/>
            <w:hideMark/>
          </w:tcPr>
          <w:p w:rsidR="00B40618" w:rsidRPr="00F85CDA" w:rsidRDefault="00B40618" w:rsidP="00CE4D96">
            <w:pPr>
              <w:rPr>
                <w:rFonts w:ascii="Arial" w:hAnsi="Arial" w:cs="Arial"/>
              </w:rPr>
            </w:pPr>
            <w:r w:rsidRPr="00F85CDA">
              <w:rPr>
                <w:rFonts w:ascii="Arial" w:hAnsi="Arial" w:cs="Arial"/>
              </w:rPr>
              <w:t>15</w:t>
            </w:r>
          </w:p>
        </w:tc>
      </w:tr>
      <w:tr w:rsidR="00B40618" w:rsidRPr="00F85CDA" w:rsidTr="005E3AC9">
        <w:trPr>
          <w:trHeight w:val="300"/>
          <w:jc w:val="center"/>
        </w:trPr>
        <w:tc>
          <w:tcPr>
            <w:tcW w:w="1161" w:type="pct"/>
            <w:vMerge w:val="restart"/>
            <w:noWrap/>
            <w:hideMark/>
          </w:tcPr>
          <w:p w:rsidR="00B40618" w:rsidRPr="00F85CDA" w:rsidRDefault="00B40618" w:rsidP="00CE4D96">
            <w:pPr>
              <w:rPr>
                <w:rFonts w:ascii="Arial" w:hAnsi="Arial" w:cs="Arial"/>
              </w:rPr>
            </w:pPr>
            <w:r w:rsidRPr="00F85CDA">
              <w:rPr>
                <w:rFonts w:ascii="Arial" w:hAnsi="Arial" w:cs="Arial"/>
              </w:rPr>
              <w:t xml:space="preserve">Ecuador </w:t>
            </w:r>
          </w:p>
        </w:tc>
        <w:tc>
          <w:tcPr>
            <w:tcW w:w="1646" w:type="pct"/>
            <w:noWrap/>
            <w:hideMark/>
          </w:tcPr>
          <w:p w:rsidR="00B40618" w:rsidRPr="00F85CDA" w:rsidRDefault="00B40618" w:rsidP="00CE4D96">
            <w:pPr>
              <w:rPr>
                <w:rFonts w:ascii="Arial" w:hAnsi="Arial" w:cs="Arial"/>
              </w:rPr>
            </w:pPr>
            <w:r w:rsidRPr="00F85CDA">
              <w:rPr>
                <w:rFonts w:ascii="Arial" w:hAnsi="Arial" w:cs="Arial"/>
              </w:rPr>
              <w:t>1978</w:t>
            </w:r>
          </w:p>
        </w:tc>
        <w:tc>
          <w:tcPr>
            <w:tcW w:w="1336" w:type="pct"/>
            <w:noWrap/>
            <w:hideMark/>
          </w:tcPr>
          <w:p w:rsidR="00B40618" w:rsidRPr="00F85CDA" w:rsidRDefault="00B40618" w:rsidP="00CE4D96">
            <w:pPr>
              <w:rPr>
                <w:rFonts w:ascii="Arial" w:hAnsi="Arial" w:cs="Arial"/>
              </w:rPr>
            </w:pPr>
            <w:r w:rsidRPr="00F85CDA">
              <w:rPr>
                <w:rFonts w:ascii="Arial" w:hAnsi="Arial" w:cs="Arial"/>
              </w:rPr>
              <w:t>Sí</w:t>
            </w:r>
          </w:p>
        </w:tc>
        <w:tc>
          <w:tcPr>
            <w:tcW w:w="857" w:type="pct"/>
            <w:noWrap/>
            <w:hideMark/>
          </w:tcPr>
          <w:p w:rsidR="00B40618" w:rsidRPr="00F85CDA" w:rsidRDefault="00B40618" w:rsidP="00CE4D96">
            <w:pPr>
              <w:rPr>
                <w:rFonts w:ascii="Arial" w:hAnsi="Arial" w:cs="Arial"/>
              </w:rPr>
            </w:pPr>
            <w:r w:rsidRPr="00F85CDA">
              <w:rPr>
                <w:rFonts w:ascii="Arial" w:hAnsi="Arial" w:cs="Arial"/>
              </w:rPr>
              <w:t>4</w:t>
            </w:r>
          </w:p>
        </w:tc>
      </w:tr>
      <w:tr w:rsidR="00B40618" w:rsidRPr="00F85CDA" w:rsidTr="005E3AC9">
        <w:trPr>
          <w:trHeight w:val="300"/>
          <w:jc w:val="center"/>
        </w:trPr>
        <w:tc>
          <w:tcPr>
            <w:tcW w:w="1161" w:type="pct"/>
            <w:vMerge/>
            <w:hideMark/>
          </w:tcPr>
          <w:p w:rsidR="00B40618" w:rsidRPr="00F85CDA" w:rsidRDefault="00B40618" w:rsidP="00CE4D96">
            <w:pPr>
              <w:rPr>
                <w:rFonts w:ascii="Arial" w:hAnsi="Arial" w:cs="Arial"/>
              </w:rPr>
            </w:pPr>
          </w:p>
        </w:tc>
        <w:tc>
          <w:tcPr>
            <w:tcW w:w="1646" w:type="pct"/>
            <w:noWrap/>
            <w:hideMark/>
          </w:tcPr>
          <w:p w:rsidR="00B40618" w:rsidRPr="00F85CDA" w:rsidRDefault="00B40618" w:rsidP="00CE4D96">
            <w:pPr>
              <w:rPr>
                <w:rFonts w:ascii="Arial" w:hAnsi="Arial" w:cs="Arial"/>
              </w:rPr>
            </w:pPr>
            <w:r w:rsidRPr="00F85CDA">
              <w:rPr>
                <w:rFonts w:ascii="Arial" w:hAnsi="Arial" w:cs="Arial"/>
              </w:rPr>
              <w:t>1998</w:t>
            </w:r>
          </w:p>
        </w:tc>
        <w:tc>
          <w:tcPr>
            <w:tcW w:w="1336" w:type="pct"/>
            <w:noWrap/>
            <w:hideMark/>
          </w:tcPr>
          <w:p w:rsidR="00B40618" w:rsidRPr="00F85CDA" w:rsidRDefault="00B40618" w:rsidP="00CE4D96">
            <w:pPr>
              <w:rPr>
                <w:rFonts w:ascii="Arial" w:hAnsi="Arial" w:cs="Arial"/>
              </w:rPr>
            </w:pPr>
            <w:r w:rsidRPr="00F85CDA">
              <w:rPr>
                <w:rFonts w:ascii="Arial" w:hAnsi="Arial" w:cs="Arial"/>
              </w:rPr>
              <w:t xml:space="preserve">Sí </w:t>
            </w:r>
          </w:p>
        </w:tc>
        <w:tc>
          <w:tcPr>
            <w:tcW w:w="857" w:type="pct"/>
            <w:noWrap/>
            <w:hideMark/>
          </w:tcPr>
          <w:p w:rsidR="00B40618" w:rsidRPr="00F85CDA" w:rsidRDefault="00B40618" w:rsidP="00CE4D96">
            <w:pPr>
              <w:rPr>
                <w:rFonts w:ascii="Arial" w:hAnsi="Arial" w:cs="Arial"/>
              </w:rPr>
            </w:pPr>
            <w:r w:rsidRPr="00F85CDA">
              <w:rPr>
                <w:rFonts w:ascii="Arial" w:hAnsi="Arial" w:cs="Arial"/>
              </w:rPr>
              <w:t>0</w:t>
            </w:r>
          </w:p>
        </w:tc>
      </w:tr>
      <w:tr w:rsidR="00B40618" w:rsidRPr="00F85CDA" w:rsidTr="005E3AC9">
        <w:trPr>
          <w:trHeight w:val="300"/>
          <w:jc w:val="center"/>
        </w:trPr>
        <w:tc>
          <w:tcPr>
            <w:tcW w:w="1161" w:type="pct"/>
            <w:vMerge/>
            <w:hideMark/>
          </w:tcPr>
          <w:p w:rsidR="00B40618" w:rsidRPr="00F85CDA" w:rsidRDefault="00B40618" w:rsidP="00CE4D96">
            <w:pPr>
              <w:rPr>
                <w:rFonts w:ascii="Arial" w:hAnsi="Arial" w:cs="Arial"/>
              </w:rPr>
            </w:pPr>
          </w:p>
        </w:tc>
        <w:tc>
          <w:tcPr>
            <w:tcW w:w="1646" w:type="pct"/>
            <w:noWrap/>
            <w:hideMark/>
          </w:tcPr>
          <w:p w:rsidR="00B40618" w:rsidRPr="00F85CDA" w:rsidRDefault="00B40618" w:rsidP="00CE4D96">
            <w:pPr>
              <w:rPr>
                <w:rFonts w:ascii="Arial" w:hAnsi="Arial" w:cs="Arial"/>
              </w:rPr>
            </w:pPr>
            <w:r w:rsidRPr="00F85CDA">
              <w:rPr>
                <w:rFonts w:ascii="Arial" w:hAnsi="Arial" w:cs="Arial"/>
              </w:rPr>
              <w:t>2008</w:t>
            </w:r>
          </w:p>
        </w:tc>
        <w:tc>
          <w:tcPr>
            <w:tcW w:w="1336" w:type="pct"/>
            <w:noWrap/>
            <w:hideMark/>
          </w:tcPr>
          <w:p w:rsidR="00B40618" w:rsidRPr="00F85CDA" w:rsidRDefault="00B40618" w:rsidP="00CE4D96">
            <w:pPr>
              <w:rPr>
                <w:rFonts w:ascii="Arial" w:hAnsi="Arial" w:cs="Arial"/>
              </w:rPr>
            </w:pPr>
            <w:r w:rsidRPr="00F85CDA">
              <w:rPr>
                <w:rFonts w:ascii="Arial" w:hAnsi="Arial" w:cs="Arial"/>
              </w:rPr>
              <w:t xml:space="preserve">Sí </w:t>
            </w:r>
          </w:p>
        </w:tc>
        <w:tc>
          <w:tcPr>
            <w:tcW w:w="857" w:type="pct"/>
            <w:noWrap/>
            <w:hideMark/>
          </w:tcPr>
          <w:p w:rsidR="00B40618" w:rsidRPr="00F85CDA" w:rsidRDefault="00B40618" w:rsidP="00CE4D96">
            <w:pPr>
              <w:rPr>
                <w:rFonts w:ascii="Arial" w:hAnsi="Arial" w:cs="Arial"/>
              </w:rPr>
            </w:pPr>
            <w:r w:rsidRPr="00F85CDA">
              <w:rPr>
                <w:rFonts w:ascii="Arial" w:hAnsi="Arial" w:cs="Arial"/>
              </w:rPr>
              <w:t>0</w:t>
            </w:r>
          </w:p>
        </w:tc>
      </w:tr>
      <w:tr w:rsidR="00B40618" w:rsidRPr="00F85CDA" w:rsidTr="005E3AC9">
        <w:trPr>
          <w:trHeight w:val="300"/>
          <w:jc w:val="center"/>
        </w:trPr>
        <w:tc>
          <w:tcPr>
            <w:tcW w:w="1161" w:type="pct"/>
            <w:noWrap/>
            <w:hideMark/>
          </w:tcPr>
          <w:p w:rsidR="00B40618" w:rsidRPr="00F85CDA" w:rsidRDefault="00B40618" w:rsidP="00CE4D96">
            <w:pPr>
              <w:rPr>
                <w:rFonts w:ascii="Arial" w:hAnsi="Arial" w:cs="Arial"/>
              </w:rPr>
            </w:pPr>
            <w:r w:rsidRPr="00F85CDA">
              <w:rPr>
                <w:rFonts w:ascii="Arial" w:hAnsi="Arial" w:cs="Arial"/>
              </w:rPr>
              <w:t xml:space="preserve">El Salvador </w:t>
            </w:r>
          </w:p>
        </w:tc>
        <w:tc>
          <w:tcPr>
            <w:tcW w:w="1646" w:type="pct"/>
            <w:noWrap/>
            <w:hideMark/>
          </w:tcPr>
          <w:p w:rsidR="00B40618" w:rsidRPr="00F85CDA" w:rsidRDefault="00B40618" w:rsidP="00CE4D96">
            <w:pPr>
              <w:rPr>
                <w:rFonts w:ascii="Arial" w:hAnsi="Arial" w:cs="Arial"/>
              </w:rPr>
            </w:pPr>
            <w:r w:rsidRPr="00F85CDA">
              <w:rPr>
                <w:rFonts w:ascii="Arial" w:hAnsi="Arial" w:cs="Arial"/>
              </w:rPr>
              <w:t>1983</w:t>
            </w:r>
          </w:p>
        </w:tc>
        <w:tc>
          <w:tcPr>
            <w:tcW w:w="1336" w:type="pct"/>
            <w:noWrap/>
            <w:hideMark/>
          </w:tcPr>
          <w:p w:rsidR="00B40618" w:rsidRPr="00F85CDA" w:rsidRDefault="00B40618" w:rsidP="00CE4D96">
            <w:pPr>
              <w:rPr>
                <w:rFonts w:ascii="Arial" w:hAnsi="Arial" w:cs="Arial"/>
              </w:rPr>
            </w:pPr>
            <w:r w:rsidRPr="00F85CDA">
              <w:rPr>
                <w:rFonts w:ascii="Arial" w:hAnsi="Arial" w:cs="Arial"/>
              </w:rPr>
              <w:t xml:space="preserve">Sí </w:t>
            </w:r>
          </w:p>
        </w:tc>
        <w:tc>
          <w:tcPr>
            <w:tcW w:w="857" w:type="pct"/>
            <w:noWrap/>
            <w:hideMark/>
          </w:tcPr>
          <w:p w:rsidR="00B40618" w:rsidRPr="00F85CDA" w:rsidRDefault="00B40618" w:rsidP="00CE4D96">
            <w:pPr>
              <w:rPr>
                <w:rFonts w:ascii="Arial" w:hAnsi="Arial" w:cs="Arial"/>
              </w:rPr>
            </w:pPr>
            <w:r w:rsidRPr="00F85CDA">
              <w:rPr>
                <w:rFonts w:ascii="Arial" w:hAnsi="Arial" w:cs="Arial"/>
              </w:rPr>
              <w:t>6</w:t>
            </w:r>
          </w:p>
        </w:tc>
      </w:tr>
      <w:tr w:rsidR="00B40618" w:rsidRPr="00F85CDA" w:rsidTr="005E3AC9">
        <w:trPr>
          <w:trHeight w:val="300"/>
          <w:jc w:val="center"/>
        </w:trPr>
        <w:tc>
          <w:tcPr>
            <w:tcW w:w="1161" w:type="pct"/>
            <w:noWrap/>
            <w:hideMark/>
          </w:tcPr>
          <w:p w:rsidR="00B40618" w:rsidRPr="00F85CDA" w:rsidRDefault="00B40618" w:rsidP="00CE4D96">
            <w:pPr>
              <w:rPr>
                <w:rFonts w:ascii="Arial" w:hAnsi="Arial" w:cs="Arial"/>
              </w:rPr>
            </w:pPr>
            <w:r w:rsidRPr="00F85CDA">
              <w:rPr>
                <w:rFonts w:ascii="Arial" w:hAnsi="Arial" w:cs="Arial"/>
              </w:rPr>
              <w:t xml:space="preserve">Guatemala </w:t>
            </w:r>
          </w:p>
        </w:tc>
        <w:tc>
          <w:tcPr>
            <w:tcW w:w="1646" w:type="pct"/>
            <w:noWrap/>
            <w:hideMark/>
          </w:tcPr>
          <w:p w:rsidR="00B40618" w:rsidRPr="00F85CDA" w:rsidRDefault="00B40618" w:rsidP="00CE4D96">
            <w:pPr>
              <w:rPr>
                <w:rFonts w:ascii="Arial" w:hAnsi="Arial" w:cs="Arial"/>
              </w:rPr>
            </w:pPr>
            <w:r w:rsidRPr="00F85CDA">
              <w:rPr>
                <w:rFonts w:ascii="Arial" w:hAnsi="Arial" w:cs="Arial"/>
              </w:rPr>
              <w:t>1985</w:t>
            </w:r>
          </w:p>
        </w:tc>
        <w:tc>
          <w:tcPr>
            <w:tcW w:w="1336" w:type="pct"/>
            <w:noWrap/>
            <w:hideMark/>
          </w:tcPr>
          <w:p w:rsidR="00B40618" w:rsidRPr="00F85CDA" w:rsidRDefault="00B40618" w:rsidP="00CE4D96">
            <w:pPr>
              <w:rPr>
                <w:rFonts w:ascii="Arial" w:hAnsi="Arial" w:cs="Arial"/>
              </w:rPr>
            </w:pPr>
            <w:r w:rsidRPr="00F85CDA">
              <w:rPr>
                <w:rFonts w:ascii="Arial" w:hAnsi="Arial" w:cs="Arial"/>
              </w:rPr>
              <w:t xml:space="preserve">Sí </w:t>
            </w:r>
          </w:p>
        </w:tc>
        <w:tc>
          <w:tcPr>
            <w:tcW w:w="857" w:type="pct"/>
            <w:noWrap/>
            <w:hideMark/>
          </w:tcPr>
          <w:p w:rsidR="00B40618" w:rsidRPr="00F85CDA" w:rsidRDefault="00B40618" w:rsidP="00CE4D96">
            <w:pPr>
              <w:rPr>
                <w:rFonts w:ascii="Arial" w:hAnsi="Arial" w:cs="Arial"/>
              </w:rPr>
            </w:pPr>
            <w:r w:rsidRPr="00F85CDA">
              <w:rPr>
                <w:rFonts w:ascii="Arial" w:hAnsi="Arial" w:cs="Arial"/>
              </w:rPr>
              <w:t>1</w:t>
            </w:r>
          </w:p>
        </w:tc>
      </w:tr>
      <w:tr w:rsidR="00B40618" w:rsidRPr="00F85CDA" w:rsidTr="005E3AC9">
        <w:trPr>
          <w:trHeight w:val="300"/>
          <w:jc w:val="center"/>
        </w:trPr>
        <w:tc>
          <w:tcPr>
            <w:tcW w:w="1161" w:type="pct"/>
            <w:noWrap/>
            <w:hideMark/>
          </w:tcPr>
          <w:p w:rsidR="00B40618" w:rsidRPr="00F85CDA" w:rsidRDefault="00B40618" w:rsidP="00CE4D96">
            <w:pPr>
              <w:rPr>
                <w:rFonts w:ascii="Arial" w:hAnsi="Arial" w:cs="Arial"/>
              </w:rPr>
            </w:pPr>
            <w:r w:rsidRPr="00F85CDA">
              <w:rPr>
                <w:rFonts w:ascii="Arial" w:hAnsi="Arial" w:cs="Arial"/>
              </w:rPr>
              <w:t xml:space="preserve">Honduras </w:t>
            </w:r>
          </w:p>
        </w:tc>
        <w:tc>
          <w:tcPr>
            <w:tcW w:w="1646" w:type="pct"/>
            <w:noWrap/>
            <w:hideMark/>
          </w:tcPr>
          <w:p w:rsidR="00B40618" w:rsidRPr="00F85CDA" w:rsidRDefault="00B40618" w:rsidP="00CE4D96">
            <w:pPr>
              <w:rPr>
                <w:rFonts w:ascii="Arial" w:hAnsi="Arial" w:cs="Arial"/>
              </w:rPr>
            </w:pPr>
            <w:r w:rsidRPr="00F85CDA">
              <w:rPr>
                <w:rFonts w:ascii="Arial" w:hAnsi="Arial" w:cs="Arial"/>
              </w:rPr>
              <w:t>1982</w:t>
            </w:r>
          </w:p>
        </w:tc>
        <w:tc>
          <w:tcPr>
            <w:tcW w:w="1336" w:type="pct"/>
            <w:noWrap/>
            <w:hideMark/>
          </w:tcPr>
          <w:p w:rsidR="00B40618" w:rsidRPr="00F85CDA" w:rsidRDefault="00B40618" w:rsidP="00CE4D96">
            <w:pPr>
              <w:rPr>
                <w:rFonts w:ascii="Arial" w:hAnsi="Arial" w:cs="Arial"/>
              </w:rPr>
            </w:pPr>
            <w:r w:rsidRPr="00F85CDA">
              <w:rPr>
                <w:rFonts w:ascii="Arial" w:hAnsi="Arial" w:cs="Arial"/>
              </w:rPr>
              <w:t xml:space="preserve">Sí </w:t>
            </w:r>
          </w:p>
        </w:tc>
        <w:tc>
          <w:tcPr>
            <w:tcW w:w="857" w:type="pct"/>
            <w:noWrap/>
            <w:hideMark/>
          </w:tcPr>
          <w:p w:rsidR="00B40618" w:rsidRPr="00F85CDA" w:rsidRDefault="00B40618" w:rsidP="00CE4D96">
            <w:pPr>
              <w:rPr>
                <w:rFonts w:ascii="Arial" w:hAnsi="Arial" w:cs="Arial"/>
              </w:rPr>
            </w:pPr>
            <w:r w:rsidRPr="00F85CDA">
              <w:rPr>
                <w:rFonts w:ascii="Arial" w:hAnsi="Arial" w:cs="Arial"/>
              </w:rPr>
              <w:t>21</w:t>
            </w:r>
          </w:p>
        </w:tc>
      </w:tr>
      <w:tr w:rsidR="00B40618" w:rsidRPr="00F85CDA" w:rsidTr="005E3AC9">
        <w:trPr>
          <w:trHeight w:val="300"/>
          <w:jc w:val="center"/>
        </w:trPr>
        <w:tc>
          <w:tcPr>
            <w:tcW w:w="1161" w:type="pct"/>
            <w:noWrap/>
            <w:hideMark/>
          </w:tcPr>
          <w:p w:rsidR="00B40618" w:rsidRPr="00F85CDA" w:rsidRDefault="00B40618" w:rsidP="00CE4D96">
            <w:pPr>
              <w:rPr>
                <w:rFonts w:ascii="Arial" w:hAnsi="Arial" w:cs="Arial"/>
              </w:rPr>
            </w:pPr>
            <w:r w:rsidRPr="00F85CDA">
              <w:rPr>
                <w:rFonts w:ascii="Arial" w:hAnsi="Arial" w:cs="Arial"/>
              </w:rPr>
              <w:t xml:space="preserve">México </w:t>
            </w:r>
          </w:p>
        </w:tc>
        <w:tc>
          <w:tcPr>
            <w:tcW w:w="1646" w:type="pct"/>
            <w:noWrap/>
            <w:hideMark/>
          </w:tcPr>
          <w:p w:rsidR="00B40618" w:rsidRPr="00F85CDA" w:rsidRDefault="00B40618" w:rsidP="00CE4D96">
            <w:pPr>
              <w:rPr>
                <w:rFonts w:ascii="Arial" w:hAnsi="Arial" w:cs="Arial"/>
              </w:rPr>
            </w:pPr>
            <w:r w:rsidRPr="00F85CDA">
              <w:rPr>
                <w:rFonts w:ascii="Arial" w:hAnsi="Arial" w:cs="Arial"/>
              </w:rPr>
              <w:t>1917</w:t>
            </w:r>
          </w:p>
        </w:tc>
        <w:tc>
          <w:tcPr>
            <w:tcW w:w="1336" w:type="pct"/>
            <w:noWrap/>
            <w:hideMark/>
          </w:tcPr>
          <w:p w:rsidR="00B40618" w:rsidRPr="00F85CDA" w:rsidRDefault="00B40618" w:rsidP="00CE4D96">
            <w:pPr>
              <w:rPr>
                <w:rFonts w:ascii="Arial" w:hAnsi="Arial" w:cs="Arial"/>
              </w:rPr>
            </w:pPr>
            <w:r w:rsidRPr="00F85CDA">
              <w:rPr>
                <w:rFonts w:ascii="Arial" w:hAnsi="Arial" w:cs="Arial"/>
              </w:rPr>
              <w:t> </w:t>
            </w:r>
          </w:p>
        </w:tc>
        <w:tc>
          <w:tcPr>
            <w:tcW w:w="857" w:type="pct"/>
            <w:noWrap/>
            <w:hideMark/>
          </w:tcPr>
          <w:p w:rsidR="00B40618" w:rsidRPr="00F85CDA" w:rsidRDefault="00B40618" w:rsidP="00CE4D96">
            <w:pPr>
              <w:rPr>
                <w:rFonts w:ascii="Arial" w:hAnsi="Arial" w:cs="Arial"/>
              </w:rPr>
            </w:pPr>
            <w:r w:rsidRPr="00F85CDA">
              <w:rPr>
                <w:rFonts w:ascii="Arial" w:hAnsi="Arial" w:cs="Arial"/>
              </w:rPr>
              <w:t>26</w:t>
            </w:r>
          </w:p>
        </w:tc>
      </w:tr>
      <w:tr w:rsidR="00B40618" w:rsidRPr="00F85CDA" w:rsidTr="005E3AC9">
        <w:trPr>
          <w:trHeight w:val="300"/>
          <w:jc w:val="center"/>
        </w:trPr>
        <w:tc>
          <w:tcPr>
            <w:tcW w:w="1161" w:type="pct"/>
            <w:noWrap/>
            <w:hideMark/>
          </w:tcPr>
          <w:p w:rsidR="00B40618" w:rsidRPr="00F85CDA" w:rsidRDefault="00B40618" w:rsidP="00CE4D96">
            <w:pPr>
              <w:rPr>
                <w:rFonts w:ascii="Arial" w:hAnsi="Arial" w:cs="Arial"/>
              </w:rPr>
            </w:pPr>
            <w:r w:rsidRPr="00F85CDA">
              <w:rPr>
                <w:rFonts w:ascii="Arial" w:hAnsi="Arial" w:cs="Arial"/>
              </w:rPr>
              <w:t xml:space="preserve">Nicaragua </w:t>
            </w:r>
          </w:p>
        </w:tc>
        <w:tc>
          <w:tcPr>
            <w:tcW w:w="1646" w:type="pct"/>
            <w:noWrap/>
            <w:hideMark/>
          </w:tcPr>
          <w:p w:rsidR="00B40618" w:rsidRPr="00F85CDA" w:rsidRDefault="00B40618" w:rsidP="00CE4D96">
            <w:pPr>
              <w:rPr>
                <w:rFonts w:ascii="Arial" w:hAnsi="Arial" w:cs="Arial"/>
              </w:rPr>
            </w:pPr>
            <w:r w:rsidRPr="00F85CDA">
              <w:rPr>
                <w:rFonts w:ascii="Arial" w:hAnsi="Arial" w:cs="Arial"/>
              </w:rPr>
              <w:t>1987</w:t>
            </w:r>
          </w:p>
        </w:tc>
        <w:tc>
          <w:tcPr>
            <w:tcW w:w="1336" w:type="pct"/>
            <w:noWrap/>
            <w:hideMark/>
          </w:tcPr>
          <w:p w:rsidR="00B40618" w:rsidRPr="00F85CDA" w:rsidRDefault="00B40618" w:rsidP="00CE4D96">
            <w:pPr>
              <w:rPr>
                <w:rFonts w:ascii="Arial" w:hAnsi="Arial" w:cs="Arial"/>
              </w:rPr>
            </w:pPr>
            <w:r w:rsidRPr="00F85CDA">
              <w:rPr>
                <w:rFonts w:ascii="Arial" w:hAnsi="Arial" w:cs="Arial"/>
              </w:rPr>
              <w:t xml:space="preserve">Sí </w:t>
            </w:r>
          </w:p>
        </w:tc>
        <w:tc>
          <w:tcPr>
            <w:tcW w:w="857" w:type="pct"/>
            <w:noWrap/>
            <w:hideMark/>
          </w:tcPr>
          <w:p w:rsidR="00B40618" w:rsidRPr="00F85CDA" w:rsidRDefault="00B40618" w:rsidP="00CE4D96">
            <w:pPr>
              <w:rPr>
                <w:rFonts w:ascii="Arial" w:hAnsi="Arial" w:cs="Arial"/>
              </w:rPr>
            </w:pPr>
            <w:r w:rsidRPr="00F85CDA">
              <w:rPr>
                <w:rFonts w:ascii="Arial" w:hAnsi="Arial" w:cs="Arial"/>
              </w:rPr>
              <w:t>3</w:t>
            </w:r>
          </w:p>
        </w:tc>
      </w:tr>
      <w:tr w:rsidR="00B40618" w:rsidRPr="00F85CDA" w:rsidTr="005E3AC9">
        <w:trPr>
          <w:trHeight w:val="300"/>
          <w:jc w:val="center"/>
        </w:trPr>
        <w:tc>
          <w:tcPr>
            <w:tcW w:w="1161" w:type="pct"/>
            <w:noWrap/>
            <w:hideMark/>
          </w:tcPr>
          <w:p w:rsidR="00B40618" w:rsidRPr="00F85CDA" w:rsidRDefault="00B40618" w:rsidP="00CE4D96">
            <w:pPr>
              <w:rPr>
                <w:rFonts w:ascii="Arial" w:hAnsi="Arial" w:cs="Arial"/>
              </w:rPr>
            </w:pPr>
            <w:r w:rsidRPr="00F85CDA">
              <w:rPr>
                <w:rFonts w:ascii="Arial" w:hAnsi="Arial" w:cs="Arial"/>
              </w:rPr>
              <w:t xml:space="preserve">Panamá </w:t>
            </w:r>
          </w:p>
        </w:tc>
        <w:tc>
          <w:tcPr>
            <w:tcW w:w="1646" w:type="pct"/>
            <w:noWrap/>
            <w:hideMark/>
          </w:tcPr>
          <w:p w:rsidR="00B40618" w:rsidRPr="00F85CDA" w:rsidRDefault="00B40618" w:rsidP="00CE4D96">
            <w:pPr>
              <w:rPr>
                <w:rFonts w:ascii="Arial" w:hAnsi="Arial" w:cs="Arial"/>
              </w:rPr>
            </w:pPr>
            <w:r w:rsidRPr="00F85CDA">
              <w:rPr>
                <w:rFonts w:ascii="Arial" w:hAnsi="Arial" w:cs="Arial"/>
              </w:rPr>
              <w:t>1972</w:t>
            </w:r>
          </w:p>
        </w:tc>
        <w:tc>
          <w:tcPr>
            <w:tcW w:w="1336" w:type="pct"/>
            <w:noWrap/>
            <w:hideMark/>
          </w:tcPr>
          <w:p w:rsidR="00B40618" w:rsidRPr="00F85CDA" w:rsidRDefault="00B40618" w:rsidP="00CE4D96">
            <w:pPr>
              <w:rPr>
                <w:rFonts w:ascii="Arial" w:hAnsi="Arial" w:cs="Arial"/>
              </w:rPr>
            </w:pPr>
            <w:r w:rsidRPr="00F85CDA">
              <w:rPr>
                <w:rFonts w:ascii="Arial" w:hAnsi="Arial" w:cs="Arial"/>
              </w:rPr>
              <w:t> </w:t>
            </w:r>
          </w:p>
        </w:tc>
        <w:tc>
          <w:tcPr>
            <w:tcW w:w="857" w:type="pct"/>
            <w:noWrap/>
            <w:hideMark/>
          </w:tcPr>
          <w:p w:rsidR="00B40618" w:rsidRPr="00F85CDA" w:rsidRDefault="00B40618" w:rsidP="00CE4D96">
            <w:pPr>
              <w:rPr>
                <w:rFonts w:ascii="Arial" w:hAnsi="Arial" w:cs="Arial"/>
              </w:rPr>
            </w:pPr>
            <w:r w:rsidRPr="00F85CDA">
              <w:rPr>
                <w:rFonts w:ascii="Arial" w:hAnsi="Arial" w:cs="Arial"/>
              </w:rPr>
              <w:t>5</w:t>
            </w:r>
          </w:p>
        </w:tc>
      </w:tr>
      <w:tr w:rsidR="00B40618" w:rsidRPr="00F85CDA" w:rsidTr="005E3AC9">
        <w:trPr>
          <w:trHeight w:val="300"/>
          <w:jc w:val="center"/>
        </w:trPr>
        <w:tc>
          <w:tcPr>
            <w:tcW w:w="1161" w:type="pct"/>
            <w:noWrap/>
            <w:hideMark/>
          </w:tcPr>
          <w:p w:rsidR="00B40618" w:rsidRPr="00F85CDA" w:rsidRDefault="00B40618" w:rsidP="00CE4D96">
            <w:pPr>
              <w:rPr>
                <w:rFonts w:ascii="Arial" w:hAnsi="Arial" w:cs="Arial"/>
              </w:rPr>
            </w:pPr>
            <w:r w:rsidRPr="00F85CDA">
              <w:rPr>
                <w:rFonts w:ascii="Arial" w:hAnsi="Arial" w:cs="Arial"/>
              </w:rPr>
              <w:t xml:space="preserve">Paraguay </w:t>
            </w:r>
          </w:p>
        </w:tc>
        <w:tc>
          <w:tcPr>
            <w:tcW w:w="1646" w:type="pct"/>
            <w:noWrap/>
            <w:hideMark/>
          </w:tcPr>
          <w:p w:rsidR="00B40618" w:rsidRPr="00F85CDA" w:rsidRDefault="00B40618" w:rsidP="00CE4D96">
            <w:pPr>
              <w:rPr>
                <w:rFonts w:ascii="Arial" w:hAnsi="Arial" w:cs="Arial"/>
              </w:rPr>
            </w:pPr>
            <w:r w:rsidRPr="00F85CDA">
              <w:rPr>
                <w:rFonts w:ascii="Arial" w:hAnsi="Arial" w:cs="Arial"/>
              </w:rPr>
              <w:t>1992</w:t>
            </w:r>
          </w:p>
        </w:tc>
        <w:tc>
          <w:tcPr>
            <w:tcW w:w="1336" w:type="pct"/>
            <w:noWrap/>
            <w:hideMark/>
          </w:tcPr>
          <w:p w:rsidR="00B40618" w:rsidRPr="00F85CDA" w:rsidRDefault="00B40618" w:rsidP="00CE4D96">
            <w:pPr>
              <w:rPr>
                <w:rFonts w:ascii="Arial" w:hAnsi="Arial" w:cs="Arial"/>
              </w:rPr>
            </w:pPr>
            <w:r w:rsidRPr="00F85CDA">
              <w:rPr>
                <w:rFonts w:ascii="Arial" w:hAnsi="Arial" w:cs="Arial"/>
              </w:rPr>
              <w:t xml:space="preserve">Sí </w:t>
            </w:r>
          </w:p>
        </w:tc>
        <w:tc>
          <w:tcPr>
            <w:tcW w:w="857" w:type="pct"/>
            <w:noWrap/>
            <w:hideMark/>
          </w:tcPr>
          <w:p w:rsidR="00B40618" w:rsidRPr="00F85CDA" w:rsidRDefault="00B40618" w:rsidP="00CE4D96">
            <w:pPr>
              <w:rPr>
                <w:rFonts w:ascii="Arial" w:hAnsi="Arial" w:cs="Arial"/>
              </w:rPr>
            </w:pPr>
            <w:r w:rsidRPr="00F85CDA">
              <w:rPr>
                <w:rFonts w:ascii="Arial" w:hAnsi="Arial" w:cs="Arial"/>
              </w:rPr>
              <w:t>0</w:t>
            </w:r>
          </w:p>
        </w:tc>
      </w:tr>
      <w:tr w:rsidR="00B40618" w:rsidRPr="00F85CDA" w:rsidTr="005E3AC9">
        <w:trPr>
          <w:trHeight w:val="300"/>
          <w:jc w:val="center"/>
        </w:trPr>
        <w:tc>
          <w:tcPr>
            <w:tcW w:w="1161" w:type="pct"/>
            <w:vMerge w:val="restart"/>
            <w:noWrap/>
            <w:hideMark/>
          </w:tcPr>
          <w:p w:rsidR="00B40618" w:rsidRPr="00F85CDA" w:rsidRDefault="00B40618" w:rsidP="00CE4D96">
            <w:pPr>
              <w:rPr>
                <w:rFonts w:ascii="Arial" w:hAnsi="Arial" w:cs="Arial"/>
              </w:rPr>
            </w:pPr>
            <w:r w:rsidRPr="00F85CDA">
              <w:rPr>
                <w:rFonts w:ascii="Arial" w:hAnsi="Arial" w:cs="Arial"/>
              </w:rPr>
              <w:t xml:space="preserve">Perú </w:t>
            </w:r>
          </w:p>
        </w:tc>
        <w:tc>
          <w:tcPr>
            <w:tcW w:w="1646" w:type="pct"/>
            <w:noWrap/>
            <w:hideMark/>
          </w:tcPr>
          <w:p w:rsidR="00B40618" w:rsidRPr="00F85CDA" w:rsidRDefault="00B40618" w:rsidP="00CE4D96">
            <w:pPr>
              <w:rPr>
                <w:rFonts w:ascii="Arial" w:hAnsi="Arial" w:cs="Arial"/>
              </w:rPr>
            </w:pPr>
            <w:r w:rsidRPr="00F85CDA">
              <w:rPr>
                <w:rFonts w:ascii="Arial" w:hAnsi="Arial" w:cs="Arial"/>
              </w:rPr>
              <w:t>1979</w:t>
            </w:r>
          </w:p>
        </w:tc>
        <w:tc>
          <w:tcPr>
            <w:tcW w:w="1336" w:type="pct"/>
            <w:noWrap/>
            <w:hideMark/>
          </w:tcPr>
          <w:p w:rsidR="00B40618" w:rsidRPr="00F85CDA" w:rsidRDefault="00B40618" w:rsidP="00CE4D96">
            <w:pPr>
              <w:rPr>
                <w:rFonts w:ascii="Arial" w:hAnsi="Arial" w:cs="Arial"/>
              </w:rPr>
            </w:pPr>
            <w:r w:rsidRPr="00F85CDA">
              <w:rPr>
                <w:rFonts w:ascii="Arial" w:hAnsi="Arial" w:cs="Arial"/>
              </w:rPr>
              <w:t>Sí</w:t>
            </w:r>
          </w:p>
        </w:tc>
        <w:tc>
          <w:tcPr>
            <w:tcW w:w="857" w:type="pct"/>
            <w:noWrap/>
            <w:hideMark/>
          </w:tcPr>
          <w:p w:rsidR="00B40618" w:rsidRPr="00F85CDA" w:rsidRDefault="00B40618" w:rsidP="00CE4D96">
            <w:pPr>
              <w:rPr>
                <w:rFonts w:ascii="Arial" w:hAnsi="Arial" w:cs="Arial"/>
              </w:rPr>
            </w:pPr>
            <w:r w:rsidRPr="00F85CDA">
              <w:rPr>
                <w:rFonts w:ascii="Arial" w:hAnsi="Arial" w:cs="Arial"/>
              </w:rPr>
              <w:t>0</w:t>
            </w:r>
          </w:p>
        </w:tc>
      </w:tr>
      <w:tr w:rsidR="00B40618" w:rsidRPr="00F85CDA" w:rsidTr="005E3AC9">
        <w:trPr>
          <w:trHeight w:val="300"/>
          <w:jc w:val="center"/>
        </w:trPr>
        <w:tc>
          <w:tcPr>
            <w:tcW w:w="1161" w:type="pct"/>
            <w:vMerge/>
            <w:hideMark/>
          </w:tcPr>
          <w:p w:rsidR="00B40618" w:rsidRPr="00F85CDA" w:rsidRDefault="00B40618" w:rsidP="00CE4D96">
            <w:pPr>
              <w:rPr>
                <w:rFonts w:ascii="Arial" w:hAnsi="Arial" w:cs="Arial"/>
              </w:rPr>
            </w:pPr>
          </w:p>
        </w:tc>
        <w:tc>
          <w:tcPr>
            <w:tcW w:w="1646" w:type="pct"/>
            <w:noWrap/>
            <w:hideMark/>
          </w:tcPr>
          <w:p w:rsidR="00B40618" w:rsidRPr="00F85CDA" w:rsidRDefault="00B40618" w:rsidP="00CE4D96">
            <w:pPr>
              <w:rPr>
                <w:rFonts w:ascii="Arial" w:hAnsi="Arial" w:cs="Arial"/>
              </w:rPr>
            </w:pPr>
            <w:r w:rsidRPr="00F85CDA">
              <w:rPr>
                <w:rFonts w:ascii="Arial" w:hAnsi="Arial" w:cs="Arial"/>
              </w:rPr>
              <w:t>1993</w:t>
            </w:r>
          </w:p>
        </w:tc>
        <w:tc>
          <w:tcPr>
            <w:tcW w:w="1336" w:type="pct"/>
            <w:noWrap/>
            <w:hideMark/>
          </w:tcPr>
          <w:p w:rsidR="00B40618" w:rsidRPr="00F85CDA" w:rsidRDefault="00B40618" w:rsidP="00CE4D96">
            <w:pPr>
              <w:rPr>
                <w:rFonts w:ascii="Arial" w:hAnsi="Arial" w:cs="Arial"/>
              </w:rPr>
            </w:pPr>
            <w:r w:rsidRPr="00F85CDA">
              <w:rPr>
                <w:rFonts w:ascii="Arial" w:hAnsi="Arial" w:cs="Arial"/>
              </w:rPr>
              <w:t xml:space="preserve"> Sí </w:t>
            </w:r>
          </w:p>
        </w:tc>
        <w:tc>
          <w:tcPr>
            <w:tcW w:w="857" w:type="pct"/>
            <w:noWrap/>
            <w:hideMark/>
          </w:tcPr>
          <w:p w:rsidR="00B40618" w:rsidRPr="00F85CDA" w:rsidRDefault="00B40618" w:rsidP="00CE4D96">
            <w:pPr>
              <w:rPr>
                <w:rFonts w:ascii="Arial" w:hAnsi="Arial" w:cs="Arial"/>
              </w:rPr>
            </w:pPr>
            <w:r w:rsidRPr="00F85CDA">
              <w:rPr>
                <w:rFonts w:ascii="Arial" w:hAnsi="Arial" w:cs="Arial"/>
              </w:rPr>
              <w:t>5</w:t>
            </w:r>
          </w:p>
        </w:tc>
      </w:tr>
      <w:tr w:rsidR="00B40618" w:rsidRPr="00F85CDA" w:rsidTr="005E3AC9">
        <w:trPr>
          <w:trHeight w:val="300"/>
          <w:jc w:val="center"/>
        </w:trPr>
        <w:tc>
          <w:tcPr>
            <w:tcW w:w="1161" w:type="pct"/>
            <w:vMerge w:val="restart"/>
            <w:noWrap/>
            <w:hideMark/>
          </w:tcPr>
          <w:p w:rsidR="00B40618" w:rsidRPr="00F85CDA" w:rsidRDefault="00B40618" w:rsidP="00CE4D96">
            <w:pPr>
              <w:rPr>
                <w:rFonts w:ascii="Arial" w:hAnsi="Arial" w:cs="Arial"/>
              </w:rPr>
            </w:pPr>
            <w:r w:rsidRPr="00F85CDA">
              <w:rPr>
                <w:rFonts w:ascii="Arial" w:hAnsi="Arial" w:cs="Arial"/>
              </w:rPr>
              <w:t>Rep</w:t>
            </w:r>
            <w:r>
              <w:rPr>
                <w:rFonts w:ascii="Arial" w:hAnsi="Arial" w:cs="Arial"/>
              </w:rPr>
              <w:t xml:space="preserve">ública </w:t>
            </w:r>
            <w:r w:rsidRPr="00F85CDA">
              <w:rPr>
                <w:rFonts w:ascii="Arial" w:hAnsi="Arial" w:cs="Arial"/>
              </w:rPr>
              <w:t xml:space="preserve">Dominicana </w:t>
            </w:r>
          </w:p>
        </w:tc>
        <w:tc>
          <w:tcPr>
            <w:tcW w:w="1646" w:type="pct"/>
            <w:noWrap/>
            <w:hideMark/>
          </w:tcPr>
          <w:p w:rsidR="00B40618" w:rsidRPr="00F85CDA" w:rsidRDefault="00B40618" w:rsidP="00CE4D96">
            <w:pPr>
              <w:rPr>
                <w:rFonts w:ascii="Arial" w:hAnsi="Arial" w:cs="Arial"/>
              </w:rPr>
            </w:pPr>
            <w:r w:rsidRPr="00F85CDA">
              <w:rPr>
                <w:rFonts w:ascii="Arial" w:hAnsi="Arial" w:cs="Arial"/>
              </w:rPr>
              <w:t>1966</w:t>
            </w:r>
          </w:p>
        </w:tc>
        <w:tc>
          <w:tcPr>
            <w:tcW w:w="1336" w:type="pct"/>
            <w:noWrap/>
            <w:hideMark/>
          </w:tcPr>
          <w:p w:rsidR="00B40618" w:rsidRPr="00F85CDA" w:rsidRDefault="00B40618" w:rsidP="00CE4D96">
            <w:pPr>
              <w:rPr>
                <w:rFonts w:ascii="Arial" w:hAnsi="Arial" w:cs="Arial"/>
              </w:rPr>
            </w:pPr>
            <w:r w:rsidRPr="00F85CDA">
              <w:rPr>
                <w:rFonts w:ascii="Arial" w:hAnsi="Arial" w:cs="Arial"/>
              </w:rPr>
              <w:t> </w:t>
            </w:r>
          </w:p>
        </w:tc>
        <w:tc>
          <w:tcPr>
            <w:tcW w:w="857" w:type="pct"/>
            <w:noWrap/>
            <w:hideMark/>
          </w:tcPr>
          <w:p w:rsidR="00B40618" w:rsidRPr="00F85CDA" w:rsidRDefault="00B40618" w:rsidP="00CE4D96">
            <w:pPr>
              <w:rPr>
                <w:rFonts w:ascii="Arial" w:hAnsi="Arial" w:cs="Arial"/>
              </w:rPr>
            </w:pPr>
            <w:r w:rsidRPr="00F85CDA">
              <w:rPr>
                <w:rFonts w:ascii="Arial" w:hAnsi="Arial" w:cs="Arial"/>
              </w:rPr>
              <w:t>2</w:t>
            </w:r>
          </w:p>
        </w:tc>
      </w:tr>
      <w:tr w:rsidR="00B40618" w:rsidRPr="00F85CDA" w:rsidTr="005E3AC9">
        <w:trPr>
          <w:trHeight w:val="300"/>
          <w:jc w:val="center"/>
        </w:trPr>
        <w:tc>
          <w:tcPr>
            <w:tcW w:w="1161" w:type="pct"/>
            <w:vMerge/>
            <w:hideMark/>
          </w:tcPr>
          <w:p w:rsidR="00B40618" w:rsidRPr="00F85CDA" w:rsidRDefault="00B40618" w:rsidP="00CE4D96">
            <w:pPr>
              <w:rPr>
                <w:rFonts w:ascii="Arial" w:hAnsi="Arial" w:cs="Arial"/>
              </w:rPr>
            </w:pPr>
          </w:p>
        </w:tc>
        <w:tc>
          <w:tcPr>
            <w:tcW w:w="1646" w:type="pct"/>
            <w:noWrap/>
            <w:hideMark/>
          </w:tcPr>
          <w:p w:rsidR="00B40618" w:rsidRPr="00F85CDA" w:rsidRDefault="00B40618" w:rsidP="00CE4D96">
            <w:pPr>
              <w:rPr>
                <w:rFonts w:ascii="Arial" w:hAnsi="Arial" w:cs="Arial"/>
              </w:rPr>
            </w:pPr>
            <w:r w:rsidRPr="00F85CDA">
              <w:rPr>
                <w:rFonts w:ascii="Arial" w:hAnsi="Arial" w:cs="Arial"/>
              </w:rPr>
              <w:t>2010</w:t>
            </w:r>
          </w:p>
        </w:tc>
        <w:tc>
          <w:tcPr>
            <w:tcW w:w="1336" w:type="pct"/>
            <w:noWrap/>
            <w:hideMark/>
          </w:tcPr>
          <w:p w:rsidR="00B40618" w:rsidRPr="00F85CDA" w:rsidRDefault="00B40618" w:rsidP="00CE4D96">
            <w:pPr>
              <w:rPr>
                <w:rFonts w:ascii="Arial" w:hAnsi="Arial" w:cs="Arial"/>
              </w:rPr>
            </w:pPr>
            <w:r w:rsidRPr="00F85CDA">
              <w:rPr>
                <w:rFonts w:ascii="Arial" w:hAnsi="Arial" w:cs="Arial"/>
              </w:rPr>
              <w:t>Si</w:t>
            </w:r>
          </w:p>
        </w:tc>
        <w:tc>
          <w:tcPr>
            <w:tcW w:w="857" w:type="pct"/>
            <w:noWrap/>
            <w:hideMark/>
          </w:tcPr>
          <w:p w:rsidR="00B40618" w:rsidRPr="00F85CDA" w:rsidRDefault="00B40618" w:rsidP="00CE4D96">
            <w:pPr>
              <w:rPr>
                <w:rFonts w:ascii="Arial" w:hAnsi="Arial" w:cs="Arial"/>
              </w:rPr>
            </w:pPr>
            <w:r w:rsidRPr="00F85CDA">
              <w:rPr>
                <w:rFonts w:ascii="Arial" w:hAnsi="Arial" w:cs="Arial"/>
              </w:rPr>
              <w:t>0</w:t>
            </w:r>
          </w:p>
        </w:tc>
      </w:tr>
      <w:tr w:rsidR="00B40618" w:rsidRPr="00F85CDA" w:rsidTr="005E3AC9">
        <w:trPr>
          <w:trHeight w:val="300"/>
          <w:jc w:val="center"/>
        </w:trPr>
        <w:tc>
          <w:tcPr>
            <w:tcW w:w="1161" w:type="pct"/>
            <w:noWrap/>
            <w:hideMark/>
          </w:tcPr>
          <w:p w:rsidR="00B40618" w:rsidRPr="00F85CDA" w:rsidRDefault="00B40618" w:rsidP="00CE4D96">
            <w:pPr>
              <w:rPr>
                <w:rFonts w:ascii="Arial" w:hAnsi="Arial" w:cs="Arial"/>
              </w:rPr>
            </w:pPr>
            <w:r w:rsidRPr="00F85CDA">
              <w:rPr>
                <w:rFonts w:ascii="Arial" w:hAnsi="Arial" w:cs="Arial"/>
              </w:rPr>
              <w:t xml:space="preserve">Uruguay </w:t>
            </w:r>
          </w:p>
        </w:tc>
        <w:tc>
          <w:tcPr>
            <w:tcW w:w="1646" w:type="pct"/>
            <w:noWrap/>
            <w:hideMark/>
          </w:tcPr>
          <w:p w:rsidR="00B40618" w:rsidRPr="00F85CDA" w:rsidRDefault="00B40618" w:rsidP="00CE4D96">
            <w:pPr>
              <w:rPr>
                <w:rFonts w:ascii="Arial" w:hAnsi="Arial" w:cs="Arial"/>
              </w:rPr>
            </w:pPr>
            <w:r w:rsidRPr="00F85CDA">
              <w:rPr>
                <w:rFonts w:ascii="Arial" w:hAnsi="Arial" w:cs="Arial"/>
              </w:rPr>
              <w:t>1967</w:t>
            </w:r>
          </w:p>
        </w:tc>
        <w:tc>
          <w:tcPr>
            <w:tcW w:w="1336" w:type="pct"/>
            <w:noWrap/>
            <w:hideMark/>
          </w:tcPr>
          <w:p w:rsidR="00B40618" w:rsidRPr="00F85CDA" w:rsidRDefault="00B40618" w:rsidP="00CE4D96">
            <w:pPr>
              <w:rPr>
                <w:rFonts w:ascii="Arial" w:hAnsi="Arial" w:cs="Arial"/>
              </w:rPr>
            </w:pPr>
            <w:r w:rsidRPr="00F85CDA">
              <w:rPr>
                <w:rFonts w:ascii="Arial" w:hAnsi="Arial" w:cs="Arial"/>
              </w:rPr>
              <w:t> </w:t>
            </w:r>
          </w:p>
        </w:tc>
        <w:tc>
          <w:tcPr>
            <w:tcW w:w="857" w:type="pct"/>
            <w:noWrap/>
            <w:hideMark/>
          </w:tcPr>
          <w:p w:rsidR="00B40618" w:rsidRPr="00F85CDA" w:rsidRDefault="00B40618" w:rsidP="00CE4D96">
            <w:pPr>
              <w:rPr>
                <w:rFonts w:ascii="Arial" w:hAnsi="Arial" w:cs="Arial"/>
              </w:rPr>
            </w:pPr>
            <w:r w:rsidRPr="00F85CDA">
              <w:rPr>
                <w:rFonts w:ascii="Arial" w:hAnsi="Arial" w:cs="Arial"/>
              </w:rPr>
              <w:t>4</w:t>
            </w:r>
          </w:p>
        </w:tc>
      </w:tr>
      <w:tr w:rsidR="00B40618" w:rsidRPr="00F85CDA" w:rsidTr="005E3AC9">
        <w:trPr>
          <w:trHeight w:val="300"/>
          <w:jc w:val="center"/>
        </w:trPr>
        <w:tc>
          <w:tcPr>
            <w:tcW w:w="1161" w:type="pct"/>
            <w:vMerge w:val="restart"/>
            <w:noWrap/>
            <w:hideMark/>
          </w:tcPr>
          <w:p w:rsidR="00B40618" w:rsidRPr="00F85CDA" w:rsidRDefault="00B40618" w:rsidP="00CE4D96">
            <w:pPr>
              <w:rPr>
                <w:rFonts w:ascii="Arial" w:hAnsi="Arial" w:cs="Arial"/>
              </w:rPr>
            </w:pPr>
            <w:r w:rsidRPr="00F85CDA">
              <w:rPr>
                <w:rFonts w:ascii="Arial" w:hAnsi="Arial" w:cs="Arial"/>
              </w:rPr>
              <w:t xml:space="preserve">Venezuela </w:t>
            </w:r>
          </w:p>
        </w:tc>
        <w:tc>
          <w:tcPr>
            <w:tcW w:w="1646" w:type="pct"/>
            <w:noWrap/>
            <w:hideMark/>
          </w:tcPr>
          <w:p w:rsidR="00B40618" w:rsidRPr="00F85CDA" w:rsidRDefault="00B40618" w:rsidP="00CE4D96">
            <w:pPr>
              <w:rPr>
                <w:rFonts w:ascii="Arial" w:hAnsi="Arial" w:cs="Arial"/>
              </w:rPr>
            </w:pPr>
            <w:r w:rsidRPr="00F85CDA">
              <w:rPr>
                <w:rFonts w:ascii="Arial" w:hAnsi="Arial" w:cs="Arial"/>
              </w:rPr>
              <w:t>1961</w:t>
            </w:r>
          </w:p>
        </w:tc>
        <w:tc>
          <w:tcPr>
            <w:tcW w:w="1336" w:type="pct"/>
            <w:noWrap/>
            <w:hideMark/>
          </w:tcPr>
          <w:p w:rsidR="00B40618" w:rsidRPr="00F85CDA" w:rsidRDefault="00B40618" w:rsidP="00CE4D96">
            <w:pPr>
              <w:rPr>
                <w:rFonts w:ascii="Arial" w:hAnsi="Arial" w:cs="Arial"/>
              </w:rPr>
            </w:pPr>
            <w:r w:rsidRPr="00F85CDA">
              <w:rPr>
                <w:rFonts w:ascii="Arial" w:hAnsi="Arial" w:cs="Arial"/>
              </w:rPr>
              <w:t> </w:t>
            </w:r>
          </w:p>
        </w:tc>
        <w:tc>
          <w:tcPr>
            <w:tcW w:w="857" w:type="pct"/>
            <w:noWrap/>
            <w:hideMark/>
          </w:tcPr>
          <w:p w:rsidR="00B40618" w:rsidRPr="00F85CDA" w:rsidRDefault="00B40618" w:rsidP="00CE4D96">
            <w:pPr>
              <w:rPr>
                <w:rFonts w:ascii="Arial" w:hAnsi="Arial" w:cs="Arial"/>
              </w:rPr>
            </w:pPr>
            <w:r w:rsidRPr="00F85CDA">
              <w:rPr>
                <w:rFonts w:ascii="Arial" w:hAnsi="Arial" w:cs="Arial"/>
              </w:rPr>
              <w:t>4</w:t>
            </w:r>
          </w:p>
        </w:tc>
      </w:tr>
      <w:tr w:rsidR="00B40618" w:rsidRPr="00F85CDA" w:rsidTr="005E3AC9">
        <w:trPr>
          <w:trHeight w:val="300"/>
          <w:jc w:val="center"/>
        </w:trPr>
        <w:tc>
          <w:tcPr>
            <w:tcW w:w="1161" w:type="pct"/>
            <w:vMerge/>
            <w:hideMark/>
          </w:tcPr>
          <w:p w:rsidR="00B40618" w:rsidRPr="00F85CDA" w:rsidRDefault="00B40618" w:rsidP="00CE4D96">
            <w:pPr>
              <w:rPr>
                <w:rFonts w:ascii="Arial" w:hAnsi="Arial" w:cs="Arial"/>
              </w:rPr>
            </w:pPr>
          </w:p>
        </w:tc>
        <w:tc>
          <w:tcPr>
            <w:tcW w:w="1646" w:type="pct"/>
            <w:noWrap/>
            <w:hideMark/>
          </w:tcPr>
          <w:p w:rsidR="00B40618" w:rsidRPr="00F85CDA" w:rsidRDefault="00B40618" w:rsidP="00CE4D96">
            <w:pPr>
              <w:rPr>
                <w:rFonts w:ascii="Arial" w:hAnsi="Arial" w:cs="Arial"/>
              </w:rPr>
            </w:pPr>
            <w:r w:rsidRPr="00F85CDA">
              <w:rPr>
                <w:rFonts w:ascii="Arial" w:hAnsi="Arial" w:cs="Arial"/>
              </w:rPr>
              <w:t>1999</w:t>
            </w:r>
          </w:p>
        </w:tc>
        <w:tc>
          <w:tcPr>
            <w:tcW w:w="1336" w:type="pct"/>
            <w:noWrap/>
            <w:hideMark/>
          </w:tcPr>
          <w:p w:rsidR="00B40618" w:rsidRPr="00F85CDA" w:rsidRDefault="00B40618" w:rsidP="00CE4D96">
            <w:pPr>
              <w:rPr>
                <w:rFonts w:ascii="Arial" w:hAnsi="Arial" w:cs="Arial"/>
              </w:rPr>
            </w:pPr>
            <w:r w:rsidRPr="00F85CDA">
              <w:rPr>
                <w:rFonts w:ascii="Arial" w:hAnsi="Arial" w:cs="Arial"/>
              </w:rPr>
              <w:t xml:space="preserve">Sí </w:t>
            </w:r>
          </w:p>
        </w:tc>
        <w:tc>
          <w:tcPr>
            <w:tcW w:w="857" w:type="pct"/>
            <w:noWrap/>
            <w:hideMark/>
          </w:tcPr>
          <w:p w:rsidR="00B40618" w:rsidRPr="00F85CDA" w:rsidRDefault="00B40618" w:rsidP="00CE4D96">
            <w:pPr>
              <w:rPr>
                <w:rFonts w:ascii="Arial" w:hAnsi="Arial" w:cs="Arial"/>
              </w:rPr>
            </w:pPr>
            <w:r w:rsidRPr="00F85CDA">
              <w:rPr>
                <w:rFonts w:ascii="Arial" w:hAnsi="Arial" w:cs="Arial"/>
              </w:rPr>
              <w:t>0</w:t>
            </w:r>
          </w:p>
        </w:tc>
      </w:tr>
    </w:tbl>
    <w:p w:rsidR="00B40618" w:rsidRPr="00F85CDA" w:rsidRDefault="00B40618" w:rsidP="005E3AC9">
      <w:pPr>
        <w:pStyle w:val="prrafodefuente"/>
        <w:spacing w:before="0" w:after="0"/>
        <w:jc w:val="center"/>
        <w:rPr>
          <w:rFonts w:ascii="Arial" w:eastAsiaTheme="minorEastAsia" w:hAnsi="Arial" w:cs="Arial"/>
          <w:spacing w:val="0"/>
          <w:sz w:val="20"/>
          <w:szCs w:val="20"/>
          <w:lang w:val="es-MX" w:eastAsia="es-MX"/>
        </w:rPr>
      </w:pPr>
      <w:r w:rsidRPr="00F85CDA">
        <w:rPr>
          <w:rFonts w:ascii="Arial" w:hAnsi="Arial" w:cs="Arial"/>
          <w:sz w:val="20"/>
          <w:szCs w:val="20"/>
        </w:rPr>
        <w:t xml:space="preserve">Fuente: </w:t>
      </w:r>
      <w:r>
        <w:rPr>
          <w:rFonts w:ascii="Arial" w:hAnsi="Arial" w:cs="Arial"/>
          <w:sz w:val="20"/>
          <w:szCs w:val="20"/>
        </w:rPr>
        <w:t>a</w:t>
      </w:r>
      <w:r w:rsidRPr="00F85CDA">
        <w:rPr>
          <w:rFonts w:ascii="Arial" w:hAnsi="Arial" w:cs="Arial"/>
          <w:sz w:val="20"/>
          <w:szCs w:val="20"/>
        </w:rPr>
        <w:t xml:space="preserve">ctualización </w:t>
      </w:r>
      <w:r>
        <w:rPr>
          <w:rFonts w:ascii="Arial" w:hAnsi="Arial" w:cs="Arial"/>
          <w:sz w:val="20"/>
          <w:szCs w:val="20"/>
        </w:rPr>
        <w:t>en</w:t>
      </w:r>
      <w:r w:rsidRPr="00F85CDA">
        <w:rPr>
          <w:rFonts w:ascii="Arial" w:hAnsi="Arial" w:cs="Arial"/>
          <w:sz w:val="20"/>
          <w:szCs w:val="20"/>
        </w:rPr>
        <w:t xml:space="preserve"> 2011 con base en </w:t>
      </w:r>
      <w:r w:rsidRPr="00F85CDA">
        <w:rPr>
          <w:rFonts w:ascii="Arial" w:hAnsi="Arial" w:cs="Arial"/>
          <w:noProof/>
          <w:sz w:val="20"/>
          <w:szCs w:val="20"/>
        </w:rPr>
        <w:t xml:space="preserve">Negretto </w:t>
      </w:r>
      <w:r>
        <w:rPr>
          <w:rFonts w:ascii="Arial" w:hAnsi="Arial" w:cs="Arial"/>
          <w:noProof/>
          <w:sz w:val="20"/>
          <w:szCs w:val="20"/>
        </w:rPr>
        <w:t>(</w:t>
      </w:r>
      <w:r w:rsidRPr="00F85CDA">
        <w:rPr>
          <w:rFonts w:ascii="Arial" w:hAnsi="Arial" w:cs="Arial"/>
          <w:noProof/>
          <w:sz w:val="20"/>
          <w:szCs w:val="20"/>
        </w:rPr>
        <w:t>2009</w:t>
      </w:r>
      <w:r>
        <w:rPr>
          <w:rFonts w:ascii="Arial" w:hAnsi="Arial" w:cs="Arial"/>
          <w:noProof/>
          <w:sz w:val="20"/>
          <w:szCs w:val="20"/>
        </w:rPr>
        <w:t>)</w:t>
      </w:r>
      <w:r w:rsidRPr="00F85CDA">
        <w:rPr>
          <w:rFonts w:ascii="Arial" w:hAnsi="Arial" w:cs="Arial"/>
          <w:sz w:val="20"/>
          <w:szCs w:val="20"/>
        </w:rPr>
        <w:t>.</w:t>
      </w:r>
    </w:p>
    <w:p w:rsidR="00B40618" w:rsidRPr="00F85CDA" w:rsidRDefault="00B40618" w:rsidP="005E3AC9">
      <w:pPr>
        <w:pStyle w:val="prrafodefuente"/>
        <w:spacing w:before="0" w:after="0"/>
        <w:jc w:val="center"/>
        <w:rPr>
          <w:rFonts w:ascii="Arial" w:hAnsi="Arial" w:cs="Arial"/>
          <w:sz w:val="20"/>
          <w:szCs w:val="20"/>
        </w:rPr>
      </w:pPr>
      <w:r w:rsidRPr="00F85CDA">
        <w:rPr>
          <w:rFonts w:ascii="Arial" w:hAnsi="Arial" w:cs="Arial"/>
          <w:sz w:val="20"/>
          <w:szCs w:val="20"/>
          <w:lang w:val="es-MX"/>
        </w:rPr>
        <w:t>* Reformas contabilizadas por año en que se realizaron enmiendas.</w:t>
      </w:r>
    </w:p>
    <w:p w:rsidR="00B40618" w:rsidRDefault="00B40618" w:rsidP="00B40618">
      <w:pPr>
        <w:spacing w:line="360" w:lineRule="auto"/>
        <w:jc w:val="both"/>
        <w:rPr>
          <w:rFonts w:ascii="Arial" w:hAnsi="Arial" w:cs="Arial"/>
          <w:lang w:val="es-MX"/>
        </w:rPr>
      </w:pPr>
    </w:p>
    <w:p w:rsidR="00B40618" w:rsidRPr="00B40618" w:rsidRDefault="00B40618" w:rsidP="00B40618">
      <w:pPr>
        <w:spacing w:line="360" w:lineRule="auto"/>
        <w:jc w:val="both"/>
        <w:rPr>
          <w:lang w:val="es-MX"/>
        </w:rPr>
      </w:pPr>
      <w:r w:rsidRPr="00B40618">
        <w:rPr>
          <w:lang w:val="es-MX"/>
        </w:rPr>
        <w:t xml:space="preserve">Los cambios incorporados supusieron la introducción de </w:t>
      </w:r>
      <w:r w:rsidRPr="00B40618">
        <w:rPr>
          <w:i/>
          <w:lang w:val="es-MX"/>
        </w:rPr>
        <w:t>rasgos parlamentarios</w:t>
      </w:r>
      <w:r w:rsidRPr="00B40618">
        <w:rPr>
          <w:lang w:val="es-MX"/>
        </w:rPr>
        <w:t xml:space="preserve"> a los sistemas presidenciales como: la censura y destitución de algunos ministros del gabinete por parte del Congreso, facultar al presidente para disolver al Congreso y la creación del cargo de jefe de gabinete, parcialmente responsable ante el poder legislativo (Argentina, </w:t>
      </w:r>
      <w:r w:rsidRPr="00B40618">
        <w:rPr>
          <w:lang w:val="es-MX"/>
        </w:rPr>
        <w:lastRenderedPageBreak/>
        <w:t xml:space="preserve">Guatemala, Perú y Uruguay). Otra tendencia fue la </w:t>
      </w:r>
      <w:r w:rsidRPr="00B40618">
        <w:rPr>
          <w:i/>
          <w:lang w:val="es-MX"/>
        </w:rPr>
        <w:t>restricción del poder presidencial</w:t>
      </w:r>
      <w:r w:rsidRPr="00B40618">
        <w:rPr>
          <w:lang w:val="es-MX"/>
        </w:rPr>
        <w:t xml:space="preserve"> para emitir decretos y fortalecer las capacidades del poder legislativo mediante la modernización de sus sistemas de información y personal especializado, así como el reforzamiento de las comisiones legislativas y entidades auditoras (Chile, Colombia, Costa Rica) (Payne et al., 2003, p. 288). Por último, en algunas cartas magnas la figura presidencial se mantuvo relativamente poderosa en la medida en la que los ejecutivos detentan </w:t>
      </w:r>
      <w:r w:rsidRPr="00B40618">
        <w:rPr>
          <w:i/>
          <w:lang w:val="es-MX"/>
        </w:rPr>
        <w:t>facultades extraordinarias</w:t>
      </w:r>
      <w:r w:rsidRPr="00B40618">
        <w:rPr>
          <w:lang w:val="es-MX"/>
        </w:rPr>
        <w:t xml:space="preserve"> que les otorga la constitución, tal es el caso del poder de veto, el poder de decreto sin restricción que solo poseen Argentina, Brasil y Colombia, el de política reservada que solo detenta el presidente de Uruguay, el poder de iniciativa presupuestaria extraordinaria que tienen la mayoría de los mandatarios, pero solo en algunos casos se restringe la participación del Congreso en la modificación del mismo, por ejemplo, Brasil, Chile, Colombia y Perú y el poder de referéndum que no requiere del consentimiento del Congreso para convocarlo (Ecuador y en algún momento de Guatemala), lo  que supone el consentimiento popular antes que el de sus contrapartes políticas (Shugart, 2000, pp. 167-163).</w:t>
      </w:r>
    </w:p>
    <w:p w:rsidR="00B40618" w:rsidRDefault="00B40618" w:rsidP="00B40618">
      <w:pPr>
        <w:pStyle w:val="Textopredeterminado"/>
        <w:spacing w:line="360" w:lineRule="auto"/>
        <w:ind w:right="44"/>
        <w:jc w:val="both"/>
        <w:rPr>
          <w:rFonts w:ascii="Arial" w:hAnsi="Arial" w:cs="Arial"/>
          <w:szCs w:val="24"/>
          <w:lang w:val="es-MX"/>
        </w:rPr>
      </w:pPr>
      <w:r w:rsidRPr="00B40618">
        <w:rPr>
          <w:szCs w:val="24"/>
          <w:lang w:val="es-MX"/>
        </w:rPr>
        <w:t>Producto de estas potestades, los regímenes presidenciales se pueden clasificar por sus facultades constitucionales en: hegemónicos, por ejemplo, Brasil, Ecuador, Honduras, México, República Dominicana y Venezuela; los de matices parlamentarios como Bolivia, Chile, Colombia, Costa Rica, El Salvador, Nicaragua, Panamá y Paraguay; y los presidencialismos “parlamentarizados” como Argentina, Guatemala, Perú y Uruguay (Reniu Vilamala, 2011).</w:t>
      </w:r>
      <w:r w:rsidRPr="00385EE0">
        <w:rPr>
          <w:rFonts w:ascii="Arial" w:hAnsi="Arial" w:cs="Arial"/>
          <w:szCs w:val="24"/>
          <w:lang w:val="es-MX"/>
        </w:rPr>
        <w:t xml:space="preserve"> </w:t>
      </w:r>
    </w:p>
    <w:p w:rsidR="005E3AC9" w:rsidRDefault="005E3AC9" w:rsidP="00B40618">
      <w:pPr>
        <w:pStyle w:val="Textopredeterminado"/>
        <w:spacing w:line="360" w:lineRule="auto"/>
        <w:ind w:right="44"/>
        <w:jc w:val="both"/>
        <w:rPr>
          <w:rFonts w:ascii="Arial" w:hAnsi="Arial" w:cs="Arial"/>
          <w:szCs w:val="24"/>
          <w:lang w:val="es-MX"/>
        </w:rPr>
      </w:pPr>
    </w:p>
    <w:p w:rsidR="005E3AC9" w:rsidRDefault="005E3AC9" w:rsidP="00B40618">
      <w:pPr>
        <w:pStyle w:val="Textopredeterminado"/>
        <w:spacing w:line="360" w:lineRule="auto"/>
        <w:ind w:right="44"/>
        <w:jc w:val="both"/>
        <w:rPr>
          <w:rFonts w:ascii="Arial" w:hAnsi="Arial" w:cs="Arial"/>
          <w:szCs w:val="24"/>
          <w:lang w:val="es-MX"/>
        </w:rPr>
      </w:pPr>
    </w:p>
    <w:p w:rsidR="005E3AC9" w:rsidRDefault="005E3AC9" w:rsidP="00B40618">
      <w:pPr>
        <w:pStyle w:val="Textopredeterminado"/>
        <w:spacing w:line="360" w:lineRule="auto"/>
        <w:ind w:right="44"/>
        <w:jc w:val="both"/>
        <w:rPr>
          <w:rFonts w:ascii="Arial" w:hAnsi="Arial" w:cs="Arial"/>
          <w:szCs w:val="24"/>
          <w:lang w:val="es-MX"/>
        </w:rPr>
      </w:pPr>
    </w:p>
    <w:p w:rsidR="005E3AC9" w:rsidRDefault="005E3AC9" w:rsidP="00B40618">
      <w:pPr>
        <w:pStyle w:val="Textopredeterminado"/>
        <w:spacing w:line="360" w:lineRule="auto"/>
        <w:ind w:right="44"/>
        <w:jc w:val="both"/>
        <w:rPr>
          <w:rFonts w:ascii="Arial" w:hAnsi="Arial" w:cs="Arial"/>
          <w:szCs w:val="24"/>
          <w:lang w:val="es-MX"/>
        </w:rPr>
      </w:pPr>
    </w:p>
    <w:p w:rsidR="005E3AC9" w:rsidRDefault="005E3AC9" w:rsidP="00B40618">
      <w:pPr>
        <w:pStyle w:val="Textopredeterminado"/>
        <w:spacing w:line="360" w:lineRule="auto"/>
        <w:ind w:right="44"/>
        <w:jc w:val="both"/>
        <w:rPr>
          <w:rFonts w:ascii="Arial" w:hAnsi="Arial" w:cs="Arial"/>
          <w:szCs w:val="24"/>
          <w:lang w:val="es-MX"/>
        </w:rPr>
      </w:pPr>
    </w:p>
    <w:p w:rsidR="005E3AC9" w:rsidRDefault="005E3AC9" w:rsidP="00B40618">
      <w:pPr>
        <w:pStyle w:val="Textopredeterminado"/>
        <w:spacing w:line="360" w:lineRule="auto"/>
        <w:ind w:right="44"/>
        <w:jc w:val="both"/>
        <w:rPr>
          <w:rFonts w:ascii="Arial" w:hAnsi="Arial" w:cs="Arial"/>
          <w:szCs w:val="24"/>
          <w:lang w:val="es-MX"/>
        </w:rPr>
      </w:pPr>
    </w:p>
    <w:p w:rsidR="005E3AC9" w:rsidRDefault="005E3AC9" w:rsidP="00B40618">
      <w:pPr>
        <w:pStyle w:val="Textopredeterminado"/>
        <w:spacing w:line="360" w:lineRule="auto"/>
        <w:ind w:right="44"/>
        <w:jc w:val="both"/>
        <w:rPr>
          <w:rFonts w:ascii="Arial" w:hAnsi="Arial" w:cs="Arial"/>
          <w:szCs w:val="24"/>
          <w:lang w:val="es-MX"/>
        </w:rPr>
      </w:pPr>
    </w:p>
    <w:p w:rsidR="005E3AC9" w:rsidRDefault="005E3AC9" w:rsidP="00B40618">
      <w:pPr>
        <w:pStyle w:val="Textopredeterminado"/>
        <w:spacing w:line="360" w:lineRule="auto"/>
        <w:ind w:right="44"/>
        <w:jc w:val="both"/>
        <w:rPr>
          <w:rFonts w:ascii="Arial" w:hAnsi="Arial" w:cs="Arial"/>
          <w:szCs w:val="24"/>
          <w:lang w:val="es-MX"/>
        </w:rPr>
      </w:pPr>
    </w:p>
    <w:p w:rsidR="005E3AC9" w:rsidRDefault="005E3AC9" w:rsidP="00B40618">
      <w:pPr>
        <w:pStyle w:val="Textopredeterminado"/>
        <w:spacing w:line="360" w:lineRule="auto"/>
        <w:ind w:right="44"/>
        <w:jc w:val="both"/>
        <w:rPr>
          <w:rFonts w:ascii="Arial" w:hAnsi="Arial" w:cs="Arial"/>
          <w:szCs w:val="24"/>
          <w:lang w:val="es-MX"/>
        </w:rPr>
      </w:pPr>
    </w:p>
    <w:p w:rsidR="005E3AC9" w:rsidRDefault="005E3AC9" w:rsidP="00B40618">
      <w:pPr>
        <w:pStyle w:val="Textopredeterminado"/>
        <w:spacing w:line="360" w:lineRule="auto"/>
        <w:ind w:right="44"/>
        <w:jc w:val="both"/>
        <w:rPr>
          <w:rFonts w:ascii="Arial" w:hAnsi="Arial" w:cs="Arial"/>
          <w:szCs w:val="24"/>
          <w:lang w:val="es-MX"/>
        </w:rPr>
      </w:pPr>
    </w:p>
    <w:p w:rsidR="005E3AC9" w:rsidRDefault="005E3AC9" w:rsidP="00B40618">
      <w:pPr>
        <w:pStyle w:val="Textopredeterminado"/>
        <w:spacing w:line="360" w:lineRule="auto"/>
        <w:ind w:right="44"/>
        <w:jc w:val="both"/>
        <w:rPr>
          <w:rFonts w:ascii="Arial" w:hAnsi="Arial" w:cs="Arial"/>
          <w:szCs w:val="24"/>
          <w:lang w:val="es-MX"/>
        </w:rPr>
      </w:pPr>
    </w:p>
    <w:p w:rsidR="005E3AC9" w:rsidRDefault="005E3AC9" w:rsidP="00B40618">
      <w:pPr>
        <w:pStyle w:val="Textopredeterminado"/>
        <w:spacing w:line="360" w:lineRule="auto"/>
        <w:ind w:right="44"/>
        <w:jc w:val="both"/>
        <w:rPr>
          <w:rFonts w:ascii="Arial" w:hAnsi="Arial" w:cs="Arial"/>
          <w:szCs w:val="24"/>
          <w:lang w:val="es-MX"/>
        </w:rPr>
      </w:pPr>
    </w:p>
    <w:p w:rsidR="00B40618" w:rsidRDefault="00B40618" w:rsidP="00B40618">
      <w:pPr>
        <w:pStyle w:val="Textopredeterminado"/>
        <w:spacing w:line="360" w:lineRule="auto"/>
        <w:ind w:right="44"/>
        <w:jc w:val="both"/>
        <w:rPr>
          <w:rFonts w:ascii="Arial" w:hAnsi="Arial" w:cs="Arial"/>
          <w:szCs w:val="24"/>
          <w:lang w:val="es-MX"/>
        </w:rPr>
      </w:pPr>
    </w:p>
    <w:tbl>
      <w:tblPr>
        <w:tblStyle w:val="Tablaconcuadrcula"/>
        <w:tblW w:w="0" w:type="auto"/>
        <w:jc w:val="center"/>
        <w:tblLook w:val="04A0" w:firstRow="1" w:lastRow="0" w:firstColumn="1" w:lastColumn="0" w:noHBand="0" w:noVBand="1"/>
      </w:tblPr>
      <w:tblGrid>
        <w:gridCol w:w="2284"/>
        <w:gridCol w:w="3587"/>
        <w:gridCol w:w="2904"/>
      </w:tblGrid>
      <w:tr w:rsidR="00B40618" w:rsidRPr="00130951" w:rsidTr="005E3AC9">
        <w:trPr>
          <w:cantSplit/>
          <w:trHeight w:val="547"/>
          <w:jc w:val="center"/>
        </w:trPr>
        <w:tc>
          <w:tcPr>
            <w:tcW w:w="8775" w:type="dxa"/>
            <w:gridSpan w:val="3"/>
          </w:tcPr>
          <w:p w:rsidR="00B40618" w:rsidRPr="00F85CDA" w:rsidRDefault="00B40618" w:rsidP="00CE4D96">
            <w:pPr>
              <w:jc w:val="both"/>
              <w:rPr>
                <w:rFonts w:ascii="Arial" w:hAnsi="Arial" w:cs="Arial"/>
                <w:lang w:val="es-MX"/>
              </w:rPr>
            </w:pPr>
            <w:r w:rsidRPr="00F85CDA">
              <w:rPr>
                <w:rFonts w:ascii="Arial" w:hAnsi="Arial" w:cs="Arial"/>
                <w:lang w:val="es-MX"/>
              </w:rPr>
              <w:t>Cuadro 3. Tipos de sistemas presidenciales por equilibrio</w:t>
            </w:r>
          </w:p>
        </w:tc>
      </w:tr>
      <w:tr w:rsidR="00B40618" w:rsidRPr="00F85CDA" w:rsidTr="005E3AC9">
        <w:trPr>
          <w:cantSplit/>
          <w:trHeight w:val="547"/>
          <w:jc w:val="center"/>
        </w:trPr>
        <w:tc>
          <w:tcPr>
            <w:tcW w:w="2284" w:type="dxa"/>
          </w:tcPr>
          <w:p w:rsidR="00B40618" w:rsidRPr="00F85CDA" w:rsidRDefault="00B40618" w:rsidP="00CE4D96">
            <w:pPr>
              <w:jc w:val="both"/>
              <w:rPr>
                <w:rFonts w:ascii="Arial" w:hAnsi="Arial" w:cs="Arial"/>
              </w:rPr>
            </w:pPr>
            <w:r w:rsidRPr="00F85CDA">
              <w:rPr>
                <w:rFonts w:ascii="Arial" w:hAnsi="Arial" w:cs="Arial"/>
              </w:rPr>
              <w:t>Tipo de equilibrio</w:t>
            </w:r>
          </w:p>
        </w:tc>
        <w:tc>
          <w:tcPr>
            <w:tcW w:w="3587" w:type="dxa"/>
          </w:tcPr>
          <w:p w:rsidR="00B40618" w:rsidRPr="00F85CDA" w:rsidRDefault="00B40618" w:rsidP="00CE4D96">
            <w:pPr>
              <w:jc w:val="both"/>
              <w:rPr>
                <w:rFonts w:ascii="Arial" w:hAnsi="Arial" w:cs="Arial"/>
                <w:lang w:val="es-MX"/>
              </w:rPr>
            </w:pPr>
            <w:r w:rsidRPr="00F85CDA">
              <w:rPr>
                <w:rFonts w:ascii="Arial" w:hAnsi="Arial" w:cs="Arial"/>
                <w:lang w:val="es-MX"/>
              </w:rPr>
              <w:t>Facultades otorgadas</w:t>
            </w:r>
          </w:p>
        </w:tc>
        <w:tc>
          <w:tcPr>
            <w:tcW w:w="2904" w:type="dxa"/>
          </w:tcPr>
          <w:p w:rsidR="00B40618" w:rsidRPr="00F85CDA" w:rsidRDefault="00B40618" w:rsidP="00CE4D96">
            <w:pPr>
              <w:jc w:val="both"/>
              <w:rPr>
                <w:rFonts w:ascii="Arial" w:hAnsi="Arial" w:cs="Arial"/>
              </w:rPr>
            </w:pPr>
            <w:r w:rsidRPr="00F85CDA">
              <w:rPr>
                <w:rFonts w:ascii="Arial" w:hAnsi="Arial" w:cs="Arial"/>
                <w:lang w:val="es-MX"/>
              </w:rPr>
              <w:t>Países identificados*</w:t>
            </w:r>
          </w:p>
        </w:tc>
      </w:tr>
      <w:tr w:rsidR="00B40618" w:rsidRPr="00F85CDA" w:rsidTr="005E3AC9">
        <w:trPr>
          <w:cantSplit/>
          <w:trHeight w:val="1136"/>
          <w:jc w:val="center"/>
        </w:trPr>
        <w:tc>
          <w:tcPr>
            <w:tcW w:w="2284" w:type="dxa"/>
          </w:tcPr>
          <w:p w:rsidR="00B40618" w:rsidRPr="00F85CDA" w:rsidRDefault="00B40618" w:rsidP="00CE4D96">
            <w:pPr>
              <w:jc w:val="both"/>
              <w:rPr>
                <w:rFonts w:ascii="Arial" w:hAnsi="Arial" w:cs="Arial"/>
                <w:lang w:val="es-MX"/>
              </w:rPr>
            </w:pPr>
            <w:r w:rsidRPr="00F85CDA">
              <w:rPr>
                <w:rFonts w:ascii="Arial" w:hAnsi="Arial" w:cs="Arial"/>
                <w:lang w:val="es-MX"/>
              </w:rPr>
              <w:t>Hegemónico o facultades extraordinarias del presidente</w:t>
            </w:r>
          </w:p>
          <w:p w:rsidR="00B40618" w:rsidRPr="00F85CDA" w:rsidRDefault="00B40618" w:rsidP="00CE4D96">
            <w:pPr>
              <w:jc w:val="both"/>
              <w:rPr>
                <w:rFonts w:ascii="Arial" w:hAnsi="Arial" w:cs="Arial"/>
                <w:lang w:val="es-MX"/>
              </w:rPr>
            </w:pPr>
          </w:p>
        </w:tc>
        <w:tc>
          <w:tcPr>
            <w:tcW w:w="3587" w:type="dxa"/>
          </w:tcPr>
          <w:p w:rsidR="00B40618" w:rsidRPr="00F85CDA" w:rsidRDefault="00B40618" w:rsidP="00CE4D96">
            <w:pPr>
              <w:pStyle w:val="Prrafodelista"/>
              <w:numPr>
                <w:ilvl w:val="0"/>
                <w:numId w:val="2"/>
              </w:numPr>
              <w:jc w:val="both"/>
              <w:rPr>
                <w:rFonts w:ascii="Arial" w:hAnsi="Arial" w:cs="Arial"/>
                <w:lang w:val="es-MX"/>
              </w:rPr>
            </w:pPr>
            <w:r w:rsidRPr="00F85CDA">
              <w:rPr>
                <w:rFonts w:ascii="Arial" w:hAnsi="Arial" w:cs="Arial"/>
                <w:lang w:val="es-MX"/>
              </w:rPr>
              <w:t>Vetos poderosos</w:t>
            </w:r>
          </w:p>
          <w:p w:rsidR="00B40618" w:rsidRPr="00F85CDA" w:rsidRDefault="00B40618" w:rsidP="00CE4D96">
            <w:pPr>
              <w:pStyle w:val="Prrafodelista"/>
              <w:numPr>
                <w:ilvl w:val="0"/>
                <w:numId w:val="2"/>
              </w:numPr>
              <w:jc w:val="both"/>
              <w:rPr>
                <w:rFonts w:ascii="Arial" w:hAnsi="Arial" w:cs="Arial"/>
                <w:lang w:val="es-MX"/>
              </w:rPr>
            </w:pPr>
            <w:r w:rsidRPr="00F85CDA">
              <w:rPr>
                <w:rFonts w:ascii="Arial" w:hAnsi="Arial" w:cs="Arial"/>
                <w:lang w:val="es-MX"/>
              </w:rPr>
              <w:t>Decretos sin restricciones</w:t>
            </w:r>
          </w:p>
          <w:p w:rsidR="00B40618" w:rsidRPr="00F85CDA" w:rsidRDefault="00B40618" w:rsidP="00CE4D96">
            <w:pPr>
              <w:pStyle w:val="Prrafodelista"/>
              <w:numPr>
                <w:ilvl w:val="0"/>
                <w:numId w:val="2"/>
              </w:numPr>
              <w:jc w:val="both"/>
              <w:rPr>
                <w:rFonts w:ascii="Arial" w:hAnsi="Arial" w:cs="Arial"/>
                <w:lang w:val="es-MX"/>
              </w:rPr>
            </w:pPr>
            <w:r w:rsidRPr="00F85CDA">
              <w:rPr>
                <w:rFonts w:ascii="Arial" w:hAnsi="Arial" w:cs="Arial"/>
                <w:lang w:val="es-MX"/>
              </w:rPr>
              <w:t>Política reservada</w:t>
            </w:r>
          </w:p>
          <w:p w:rsidR="00B40618" w:rsidRPr="00F85CDA" w:rsidRDefault="00B40618" w:rsidP="00CE4D96">
            <w:pPr>
              <w:pStyle w:val="Prrafodelista"/>
              <w:numPr>
                <w:ilvl w:val="0"/>
                <w:numId w:val="2"/>
              </w:numPr>
              <w:jc w:val="both"/>
              <w:rPr>
                <w:rFonts w:ascii="Arial" w:hAnsi="Arial" w:cs="Arial"/>
                <w:lang w:val="es-MX"/>
              </w:rPr>
            </w:pPr>
            <w:r w:rsidRPr="00F85CDA">
              <w:rPr>
                <w:rFonts w:ascii="Arial" w:hAnsi="Arial" w:cs="Arial"/>
                <w:lang w:val="es-MX"/>
              </w:rPr>
              <w:t>Iniciativa presupuestaria extraordinaria</w:t>
            </w:r>
          </w:p>
          <w:p w:rsidR="00B40618" w:rsidRPr="00F85CDA" w:rsidRDefault="00B40618" w:rsidP="00CE4D96">
            <w:pPr>
              <w:pStyle w:val="Prrafodelista"/>
              <w:numPr>
                <w:ilvl w:val="0"/>
                <w:numId w:val="2"/>
              </w:numPr>
              <w:jc w:val="both"/>
              <w:rPr>
                <w:rFonts w:ascii="Arial" w:hAnsi="Arial" w:cs="Arial"/>
                <w:lang w:val="es-MX"/>
              </w:rPr>
            </w:pPr>
            <w:r w:rsidRPr="00F85CDA">
              <w:rPr>
                <w:rFonts w:ascii="Arial" w:hAnsi="Arial" w:cs="Arial"/>
                <w:lang w:val="es-MX"/>
              </w:rPr>
              <w:t xml:space="preserve">Referéndum sin consentimiento del </w:t>
            </w:r>
            <w:r>
              <w:rPr>
                <w:rFonts w:ascii="Arial" w:hAnsi="Arial" w:cs="Arial"/>
                <w:lang w:val="es-MX"/>
              </w:rPr>
              <w:t>Congreso</w:t>
            </w:r>
          </w:p>
        </w:tc>
        <w:tc>
          <w:tcPr>
            <w:tcW w:w="2904" w:type="dxa"/>
          </w:tcPr>
          <w:p w:rsidR="00B40618" w:rsidRPr="00F85CDA" w:rsidRDefault="00B40618" w:rsidP="00CE4D96">
            <w:pPr>
              <w:jc w:val="both"/>
              <w:rPr>
                <w:rFonts w:ascii="Arial" w:hAnsi="Arial" w:cs="Arial"/>
                <w:lang w:val="es-MX"/>
              </w:rPr>
            </w:pPr>
            <w:r w:rsidRPr="00F85CDA">
              <w:rPr>
                <w:rFonts w:ascii="Arial" w:hAnsi="Arial" w:cs="Arial"/>
                <w:lang w:val="es-MX"/>
              </w:rPr>
              <w:t>Brasil</w:t>
            </w:r>
          </w:p>
          <w:p w:rsidR="00B40618" w:rsidRPr="00F85CDA" w:rsidRDefault="00B40618" w:rsidP="00CE4D96">
            <w:pPr>
              <w:jc w:val="both"/>
              <w:rPr>
                <w:rFonts w:ascii="Arial" w:hAnsi="Arial" w:cs="Arial"/>
                <w:lang w:val="es-MX"/>
              </w:rPr>
            </w:pPr>
            <w:r w:rsidRPr="00F85CDA">
              <w:rPr>
                <w:rFonts w:ascii="Arial" w:hAnsi="Arial" w:cs="Arial"/>
                <w:lang w:val="es-MX"/>
              </w:rPr>
              <w:t>Ecuador</w:t>
            </w:r>
          </w:p>
          <w:p w:rsidR="00B40618" w:rsidRPr="00F85CDA" w:rsidRDefault="00B40618" w:rsidP="00CE4D96">
            <w:pPr>
              <w:jc w:val="both"/>
              <w:rPr>
                <w:rFonts w:ascii="Arial" w:hAnsi="Arial" w:cs="Arial"/>
                <w:lang w:val="es-MX"/>
              </w:rPr>
            </w:pPr>
            <w:r w:rsidRPr="00F85CDA">
              <w:rPr>
                <w:rFonts w:ascii="Arial" w:hAnsi="Arial" w:cs="Arial"/>
                <w:lang w:val="es-MX"/>
              </w:rPr>
              <w:t>Honduras</w:t>
            </w:r>
          </w:p>
          <w:p w:rsidR="00B40618" w:rsidRPr="00F85CDA" w:rsidRDefault="00B40618" w:rsidP="00CE4D96">
            <w:pPr>
              <w:jc w:val="both"/>
              <w:rPr>
                <w:rFonts w:ascii="Arial" w:hAnsi="Arial" w:cs="Arial"/>
                <w:lang w:val="es-MX"/>
              </w:rPr>
            </w:pPr>
            <w:r w:rsidRPr="00F85CDA">
              <w:rPr>
                <w:rFonts w:ascii="Arial" w:hAnsi="Arial" w:cs="Arial"/>
                <w:lang w:val="es-MX"/>
              </w:rPr>
              <w:t>México</w:t>
            </w:r>
          </w:p>
          <w:p w:rsidR="00B40618" w:rsidRPr="00F85CDA" w:rsidRDefault="00B40618" w:rsidP="00CE4D96">
            <w:pPr>
              <w:jc w:val="both"/>
              <w:rPr>
                <w:rFonts w:ascii="Arial" w:hAnsi="Arial" w:cs="Arial"/>
                <w:lang w:val="es-MX"/>
              </w:rPr>
            </w:pPr>
            <w:r w:rsidRPr="00F85CDA">
              <w:rPr>
                <w:rFonts w:ascii="Arial" w:hAnsi="Arial" w:cs="Arial"/>
                <w:lang w:val="es-MX"/>
              </w:rPr>
              <w:t>República Dominicana</w:t>
            </w:r>
          </w:p>
          <w:p w:rsidR="00B40618" w:rsidRPr="00F85CDA" w:rsidRDefault="00B40618" w:rsidP="00CE4D96">
            <w:pPr>
              <w:jc w:val="both"/>
              <w:rPr>
                <w:rFonts w:ascii="Arial" w:hAnsi="Arial" w:cs="Arial"/>
                <w:lang w:val="es-MX"/>
              </w:rPr>
            </w:pPr>
            <w:r w:rsidRPr="00F85CDA">
              <w:rPr>
                <w:rFonts w:ascii="Arial" w:hAnsi="Arial" w:cs="Arial"/>
                <w:lang w:val="es-MX"/>
              </w:rPr>
              <w:t>Venezuela</w:t>
            </w:r>
          </w:p>
        </w:tc>
      </w:tr>
      <w:tr w:rsidR="00B40618" w:rsidRPr="00F85CDA" w:rsidTr="005E3AC9">
        <w:trPr>
          <w:cantSplit/>
          <w:trHeight w:val="1136"/>
          <w:jc w:val="center"/>
        </w:trPr>
        <w:tc>
          <w:tcPr>
            <w:tcW w:w="2284" w:type="dxa"/>
          </w:tcPr>
          <w:p w:rsidR="00B40618" w:rsidRPr="00F85CDA" w:rsidRDefault="00B40618" w:rsidP="00CE4D96">
            <w:pPr>
              <w:jc w:val="both"/>
              <w:rPr>
                <w:rFonts w:ascii="Arial" w:hAnsi="Arial" w:cs="Arial"/>
                <w:lang w:val="es-MX"/>
              </w:rPr>
            </w:pPr>
            <w:r w:rsidRPr="00F85CDA">
              <w:rPr>
                <w:rFonts w:ascii="Arial" w:hAnsi="Arial" w:cs="Arial"/>
                <w:lang w:val="es-MX"/>
              </w:rPr>
              <w:t>Con matices parlamentarios, restringen los poderes presidenciales</w:t>
            </w:r>
          </w:p>
        </w:tc>
        <w:tc>
          <w:tcPr>
            <w:tcW w:w="3587" w:type="dxa"/>
          </w:tcPr>
          <w:p w:rsidR="00B40618" w:rsidRPr="00F85CDA" w:rsidRDefault="00B40618" w:rsidP="00CE4D96">
            <w:pPr>
              <w:pStyle w:val="Prrafodelista"/>
              <w:numPr>
                <w:ilvl w:val="0"/>
                <w:numId w:val="2"/>
              </w:numPr>
              <w:jc w:val="both"/>
              <w:rPr>
                <w:rFonts w:ascii="Arial" w:hAnsi="Arial" w:cs="Arial"/>
                <w:lang w:val="es-MX"/>
              </w:rPr>
            </w:pPr>
            <w:r w:rsidRPr="00F85CDA">
              <w:rPr>
                <w:rFonts w:ascii="Arial" w:hAnsi="Arial" w:cs="Arial"/>
                <w:lang w:val="es-MX"/>
              </w:rPr>
              <w:t>Restricciones para emitir decretos</w:t>
            </w:r>
          </w:p>
          <w:p w:rsidR="00B40618" w:rsidRPr="00F85CDA" w:rsidRDefault="00B40618" w:rsidP="00CE4D96">
            <w:pPr>
              <w:pStyle w:val="Prrafodelista"/>
              <w:numPr>
                <w:ilvl w:val="0"/>
                <w:numId w:val="2"/>
              </w:numPr>
              <w:jc w:val="both"/>
              <w:rPr>
                <w:rFonts w:ascii="Arial" w:hAnsi="Arial" w:cs="Arial"/>
                <w:lang w:val="es-MX"/>
              </w:rPr>
            </w:pPr>
            <w:r w:rsidRPr="00F85CDA">
              <w:rPr>
                <w:rFonts w:ascii="Arial" w:hAnsi="Arial" w:cs="Arial"/>
                <w:lang w:val="es-MX"/>
              </w:rPr>
              <w:t>Fortalecimiento de las capacidades legislativas</w:t>
            </w:r>
          </w:p>
          <w:p w:rsidR="00B40618" w:rsidRPr="00F85CDA" w:rsidRDefault="00B40618" w:rsidP="00CE4D96">
            <w:pPr>
              <w:pStyle w:val="Prrafodelista"/>
              <w:numPr>
                <w:ilvl w:val="0"/>
                <w:numId w:val="2"/>
              </w:numPr>
              <w:jc w:val="both"/>
              <w:rPr>
                <w:rFonts w:ascii="Arial" w:hAnsi="Arial" w:cs="Arial"/>
                <w:lang w:val="es-MX"/>
              </w:rPr>
            </w:pPr>
            <w:r w:rsidRPr="00F85CDA">
              <w:rPr>
                <w:rFonts w:ascii="Arial" w:hAnsi="Arial" w:cs="Arial"/>
                <w:lang w:val="es-MX"/>
              </w:rPr>
              <w:t>Reforzamiento de comisiones legislativas</w:t>
            </w:r>
          </w:p>
        </w:tc>
        <w:tc>
          <w:tcPr>
            <w:tcW w:w="2904" w:type="dxa"/>
          </w:tcPr>
          <w:p w:rsidR="00B40618" w:rsidRPr="00F85CDA" w:rsidRDefault="00B40618" w:rsidP="00CE4D96">
            <w:pPr>
              <w:jc w:val="both"/>
              <w:rPr>
                <w:rFonts w:ascii="Arial" w:hAnsi="Arial" w:cs="Arial"/>
                <w:lang w:val="es-MX"/>
              </w:rPr>
            </w:pPr>
            <w:r w:rsidRPr="00F85CDA">
              <w:rPr>
                <w:rFonts w:ascii="Arial" w:hAnsi="Arial" w:cs="Arial"/>
                <w:lang w:val="es-MX"/>
              </w:rPr>
              <w:t>Bolivia</w:t>
            </w:r>
          </w:p>
          <w:p w:rsidR="00B40618" w:rsidRPr="00F85CDA" w:rsidRDefault="00B40618" w:rsidP="00CE4D96">
            <w:pPr>
              <w:jc w:val="both"/>
              <w:rPr>
                <w:rFonts w:ascii="Arial" w:hAnsi="Arial" w:cs="Arial"/>
                <w:lang w:val="es-MX"/>
              </w:rPr>
            </w:pPr>
            <w:r w:rsidRPr="00F85CDA">
              <w:rPr>
                <w:rFonts w:ascii="Arial" w:hAnsi="Arial" w:cs="Arial"/>
                <w:lang w:val="es-MX"/>
              </w:rPr>
              <w:t>Chile</w:t>
            </w:r>
          </w:p>
          <w:p w:rsidR="00B40618" w:rsidRPr="00F85CDA" w:rsidRDefault="00B40618" w:rsidP="00CE4D96">
            <w:pPr>
              <w:jc w:val="both"/>
              <w:rPr>
                <w:rFonts w:ascii="Arial" w:hAnsi="Arial" w:cs="Arial"/>
                <w:lang w:val="es-MX"/>
              </w:rPr>
            </w:pPr>
            <w:r w:rsidRPr="00F85CDA">
              <w:rPr>
                <w:rFonts w:ascii="Arial" w:hAnsi="Arial" w:cs="Arial"/>
                <w:lang w:val="es-MX"/>
              </w:rPr>
              <w:t>Colombia</w:t>
            </w:r>
          </w:p>
          <w:p w:rsidR="00B40618" w:rsidRPr="00F85CDA" w:rsidRDefault="00B40618" w:rsidP="00CE4D96">
            <w:pPr>
              <w:jc w:val="both"/>
              <w:rPr>
                <w:rFonts w:ascii="Arial" w:hAnsi="Arial" w:cs="Arial"/>
                <w:lang w:val="es-MX"/>
              </w:rPr>
            </w:pPr>
            <w:r w:rsidRPr="00F85CDA">
              <w:rPr>
                <w:rFonts w:ascii="Arial" w:hAnsi="Arial" w:cs="Arial"/>
                <w:lang w:val="es-MX"/>
              </w:rPr>
              <w:t>Costa Rica</w:t>
            </w:r>
          </w:p>
          <w:p w:rsidR="00B40618" w:rsidRPr="00F85CDA" w:rsidRDefault="00B40618" w:rsidP="00CE4D96">
            <w:pPr>
              <w:jc w:val="both"/>
              <w:rPr>
                <w:rFonts w:ascii="Arial" w:hAnsi="Arial" w:cs="Arial"/>
                <w:lang w:val="es-MX"/>
              </w:rPr>
            </w:pPr>
            <w:r w:rsidRPr="00F85CDA">
              <w:rPr>
                <w:rFonts w:ascii="Arial" w:hAnsi="Arial" w:cs="Arial"/>
                <w:lang w:val="es-MX"/>
              </w:rPr>
              <w:t>El Salvador</w:t>
            </w:r>
          </w:p>
          <w:p w:rsidR="00B40618" w:rsidRPr="00F85CDA" w:rsidRDefault="00B40618" w:rsidP="00CE4D96">
            <w:pPr>
              <w:jc w:val="both"/>
              <w:rPr>
                <w:rFonts w:ascii="Arial" w:hAnsi="Arial" w:cs="Arial"/>
                <w:lang w:val="es-MX"/>
              </w:rPr>
            </w:pPr>
            <w:r w:rsidRPr="00F85CDA">
              <w:rPr>
                <w:rFonts w:ascii="Arial" w:hAnsi="Arial" w:cs="Arial"/>
                <w:lang w:val="es-MX"/>
              </w:rPr>
              <w:t>Nicaragua</w:t>
            </w:r>
          </w:p>
          <w:p w:rsidR="00B40618" w:rsidRPr="00F85CDA" w:rsidRDefault="00B40618" w:rsidP="00CE4D96">
            <w:pPr>
              <w:jc w:val="both"/>
              <w:rPr>
                <w:rFonts w:ascii="Arial" w:hAnsi="Arial" w:cs="Arial"/>
                <w:lang w:val="es-MX"/>
              </w:rPr>
            </w:pPr>
            <w:r w:rsidRPr="00F85CDA">
              <w:rPr>
                <w:rFonts w:ascii="Arial" w:hAnsi="Arial" w:cs="Arial"/>
                <w:lang w:val="es-MX"/>
              </w:rPr>
              <w:t>Panamá</w:t>
            </w:r>
          </w:p>
          <w:p w:rsidR="00B40618" w:rsidRPr="00F85CDA" w:rsidRDefault="00B40618" w:rsidP="00CE4D96">
            <w:pPr>
              <w:jc w:val="both"/>
              <w:rPr>
                <w:rFonts w:ascii="Arial" w:hAnsi="Arial" w:cs="Arial"/>
                <w:lang w:val="es-MX"/>
              </w:rPr>
            </w:pPr>
            <w:r w:rsidRPr="00F85CDA">
              <w:rPr>
                <w:rFonts w:ascii="Arial" w:hAnsi="Arial" w:cs="Arial"/>
                <w:lang w:val="es-MX"/>
              </w:rPr>
              <w:t>Paraguay</w:t>
            </w:r>
          </w:p>
        </w:tc>
      </w:tr>
      <w:tr w:rsidR="00B40618" w:rsidRPr="00F85CDA" w:rsidTr="005E3AC9">
        <w:trPr>
          <w:cantSplit/>
          <w:trHeight w:val="1136"/>
          <w:jc w:val="center"/>
        </w:trPr>
        <w:tc>
          <w:tcPr>
            <w:tcW w:w="2284" w:type="dxa"/>
          </w:tcPr>
          <w:p w:rsidR="00B40618" w:rsidRPr="00F85CDA" w:rsidRDefault="00B40618" w:rsidP="00CE4D96">
            <w:pPr>
              <w:jc w:val="both"/>
              <w:rPr>
                <w:rFonts w:ascii="Arial" w:hAnsi="Arial" w:cs="Arial"/>
                <w:lang w:val="es-MX"/>
              </w:rPr>
            </w:pPr>
            <w:r w:rsidRPr="00F85CDA">
              <w:rPr>
                <w:rFonts w:ascii="Arial" w:hAnsi="Arial" w:cs="Arial"/>
                <w:lang w:val="es-MX"/>
              </w:rPr>
              <w:t xml:space="preserve">Parlamentarizado introduce la figura de primer ministro, la censura o la disolución del </w:t>
            </w:r>
            <w:r>
              <w:rPr>
                <w:rFonts w:ascii="Arial" w:hAnsi="Arial" w:cs="Arial"/>
                <w:lang w:val="es-MX"/>
              </w:rPr>
              <w:t>Congreso</w:t>
            </w:r>
          </w:p>
        </w:tc>
        <w:tc>
          <w:tcPr>
            <w:tcW w:w="3587" w:type="dxa"/>
          </w:tcPr>
          <w:p w:rsidR="00B40618" w:rsidRPr="00F85CDA" w:rsidRDefault="00B40618" w:rsidP="00CE4D96">
            <w:pPr>
              <w:pStyle w:val="Prrafodelista"/>
              <w:numPr>
                <w:ilvl w:val="0"/>
                <w:numId w:val="2"/>
              </w:numPr>
              <w:jc w:val="both"/>
              <w:rPr>
                <w:rFonts w:ascii="Arial" w:hAnsi="Arial" w:cs="Arial"/>
                <w:lang w:val="es-MX"/>
              </w:rPr>
            </w:pPr>
            <w:r w:rsidRPr="00F85CDA">
              <w:rPr>
                <w:rFonts w:ascii="Arial" w:hAnsi="Arial" w:cs="Arial"/>
                <w:lang w:val="es-MX"/>
              </w:rPr>
              <w:t>Censura y destitución de algunos ministros</w:t>
            </w:r>
          </w:p>
          <w:p w:rsidR="00B40618" w:rsidRPr="00F85CDA" w:rsidRDefault="00B40618" w:rsidP="00CE4D96">
            <w:pPr>
              <w:pStyle w:val="Prrafodelista"/>
              <w:numPr>
                <w:ilvl w:val="0"/>
                <w:numId w:val="2"/>
              </w:numPr>
              <w:jc w:val="both"/>
              <w:rPr>
                <w:rFonts w:ascii="Arial" w:hAnsi="Arial" w:cs="Arial"/>
                <w:lang w:val="es-MX"/>
              </w:rPr>
            </w:pPr>
            <w:r w:rsidRPr="00F85CDA">
              <w:rPr>
                <w:rFonts w:ascii="Arial" w:hAnsi="Arial" w:cs="Arial"/>
                <w:lang w:val="es-MX"/>
              </w:rPr>
              <w:t xml:space="preserve">Faculta al Presidente a disolver </w:t>
            </w:r>
            <w:r>
              <w:rPr>
                <w:rFonts w:ascii="Arial" w:hAnsi="Arial" w:cs="Arial"/>
                <w:lang w:val="es-MX"/>
              </w:rPr>
              <w:t>el Congreso</w:t>
            </w:r>
          </w:p>
          <w:p w:rsidR="00B40618" w:rsidRPr="00F85CDA" w:rsidRDefault="00B40618" w:rsidP="00CE4D96">
            <w:pPr>
              <w:pStyle w:val="Prrafodelista"/>
              <w:numPr>
                <w:ilvl w:val="0"/>
                <w:numId w:val="2"/>
              </w:numPr>
              <w:jc w:val="both"/>
              <w:rPr>
                <w:rFonts w:ascii="Arial" w:hAnsi="Arial" w:cs="Arial"/>
                <w:lang w:val="es-MX"/>
              </w:rPr>
            </w:pPr>
            <w:r w:rsidRPr="00F85CDA">
              <w:rPr>
                <w:rFonts w:ascii="Arial" w:hAnsi="Arial" w:cs="Arial"/>
                <w:lang w:val="es-MX"/>
              </w:rPr>
              <w:t>Creación del cargo de Jefe de Gabinete, parcialmente responsable</w:t>
            </w:r>
          </w:p>
        </w:tc>
        <w:tc>
          <w:tcPr>
            <w:tcW w:w="2904" w:type="dxa"/>
          </w:tcPr>
          <w:p w:rsidR="00B40618" w:rsidRPr="00F85CDA" w:rsidRDefault="00B40618" w:rsidP="00CE4D96">
            <w:pPr>
              <w:jc w:val="both"/>
              <w:rPr>
                <w:rFonts w:ascii="Arial" w:hAnsi="Arial" w:cs="Arial"/>
                <w:lang w:val="es-MX"/>
              </w:rPr>
            </w:pPr>
            <w:r w:rsidRPr="00F85CDA">
              <w:rPr>
                <w:rFonts w:ascii="Arial" w:hAnsi="Arial" w:cs="Arial"/>
                <w:lang w:val="es-MX"/>
              </w:rPr>
              <w:t>Argentina</w:t>
            </w:r>
          </w:p>
          <w:p w:rsidR="00B40618" w:rsidRPr="00F85CDA" w:rsidRDefault="00B40618" w:rsidP="00CE4D96">
            <w:pPr>
              <w:jc w:val="both"/>
              <w:rPr>
                <w:rFonts w:ascii="Arial" w:hAnsi="Arial" w:cs="Arial"/>
                <w:lang w:val="es-MX"/>
              </w:rPr>
            </w:pPr>
            <w:r w:rsidRPr="00F85CDA">
              <w:rPr>
                <w:rFonts w:ascii="Arial" w:hAnsi="Arial" w:cs="Arial"/>
                <w:lang w:val="es-MX"/>
              </w:rPr>
              <w:t>Guatemala</w:t>
            </w:r>
          </w:p>
          <w:p w:rsidR="00B40618" w:rsidRPr="00F85CDA" w:rsidRDefault="00B40618" w:rsidP="00CE4D96">
            <w:pPr>
              <w:jc w:val="both"/>
              <w:rPr>
                <w:rFonts w:ascii="Arial" w:hAnsi="Arial" w:cs="Arial"/>
                <w:lang w:val="es-MX"/>
              </w:rPr>
            </w:pPr>
            <w:r w:rsidRPr="00F85CDA">
              <w:rPr>
                <w:rFonts w:ascii="Arial" w:hAnsi="Arial" w:cs="Arial"/>
                <w:lang w:val="es-MX"/>
              </w:rPr>
              <w:t>Perú</w:t>
            </w:r>
          </w:p>
          <w:p w:rsidR="00B40618" w:rsidRPr="00F85CDA" w:rsidRDefault="00B40618" w:rsidP="00CE4D96">
            <w:pPr>
              <w:jc w:val="both"/>
              <w:rPr>
                <w:rFonts w:ascii="Arial" w:hAnsi="Arial" w:cs="Arial"/>
                <w:lang w:val="es-MX"/>
              </w:rPr>
            </w:pPr>
            <w:r w:rsidRPr="00F85CDA">
              <w:rPr>
                <w:rFonts w:ascii="Arial" w:hAnsi="Arial" w:cs="Arial"/>
                <w:lang w:val="es-MX"/>
              </w:rPr>
              <w:t>Uruguay</w:t>
            </w:r>
          </w:p>
        </w:tc>
      </w:tr>
    </w:tbl>
    <w:p w:rsidR="00B40618" w:rsidRPr="00F85CDA" w:rsidRDefault="00B40618" w:rsidP="005E3AC9">
      <w:pPr>
        <w:pStyle w:val="Textopredeterminado"/>
        <w:ind w:right="44"/>
        <w:jc w:val="center"/>
        <w:rPr>
          <w:rFonts w:ascii="Arial" w:hAnsi="Arial" w:cs="Arial"/>
          <w:sz w:val="20"/>
          <w:lang w:val="es-MX"/>
        </w:rPr>
      </w:pPr>
      <w:r w:rsidRPr="00F85CDA">
        <w:rPr>
          <w:rFonts w:ascii="Arial" w:hAnsi="Arial" w:cs="Arial"/>
          <w:sz w:val="20"/>
          <w:lang w:val="es-MX"/>
        </w:rPr>
        <w:t>*Algunas facultades otorgadas corresponden solo a uno o dos países, pero se identifican en este rubro por tipo de equilibrio.</w:t>
      </w:r>
    </w:p>
    <w:p w:rsidR="00B40618" w:rsidRPr="00F85CDA" w:rsidRDefault="00B40618" w:rsidP="005E3AC9">
      <w:pPr>
        <w:pStyle w:val="Textopredeterminado"/>
        <w:ind w:right="44"/>
        <w:jc w:val="center"/>
        <w:rPr>
          <w:rFonts w:ascii="Arial" w:hAnsi="Arial" w:cs="Arial"/>
          <w:sz w:val="20"/>
          <w:lang w:val="es-MX"/>
        </w:rPr>
      </w:pPr>
      <w:r w:rsidRPr="00F85CDA">
        <w:rPr>
          <w:rFonts w:ascii="Arial" w:hAnsi="Arial" w:cs="Arial"/>
          <w:sz w:val="20"/>
          <w:lang w:val="es-MX"/>
        </w:rPr>
        <w:t xml:space="preserve">Fuente: </w:t>
      </w:r>
      <w:r>
        <w:rPr>
          <w:rFonts w:ascii="Arial" w:hAnsi="Arial" w:cs="Arial"/>
          <w:sz w:val="20"/>
          <w:lang w:val="es-MX"/>
        </w:rPr>
        <w:t>e</w:t>
      </w:r>
      <w:r w:rsidRPr="00F85CDA">
        <w:rPr>
          <w:rFonts w:ascii="Arial" w:hAnsi="Arial" w:cs="Arial"/>
          <w:sz w:val="20"/>
          <w:lang w:val="es-MX"/>
        </w:rPr>
        <w:t>laboración propia con base en Shugart (2000) y  Reniu Vilamala (2011).</w:t>
      </w:r>
    </w:p>
    <w:p w:rsidR="00B40618" w:rsidRDefault="00B40618" w:rsidP="00B40618">
      <w:pPr>
        <w:pStyle w:val="Textopredeterminado"/>
        <w:spacing w:line="360" w:lineRule="auto"/>
        <w:ind w:right="44"/>
        <w:jc w:val="both"/>
        <w:rPr>
          <w:rFonts w:ascii="Arial" w:hAnsi="Arial" w:cs="Arial"/>
          <w:szCs w:val="24"/>
          <w:lang w:val="es-ES_tradnl"/>
        </w:rPr>
      </w:pPr>
    </w:p>
    <w:p w:rsidR="00B40618" w:rsidRPr="00B40618" w:rsidRDefault="00B40618" w:rsidP="00B40618">
      <w:pPr>
        <w:pStyle w:val="Textopredeterminado"/>
        <w:spacing w:line="360" w:lineRule="auto"/>
        <w:ind w:right="44"/>
        <w:jc w:val="both"/>
        <w:rPr>
          <w:szCs w:val="24"/>
          <w:lang w:val="es-ES_tradnl"/>
        </w:rPr>
      </w:pPr>
      <w:r w:rsidRPr="00B40618">
        <w:rPr>
          <w:szCs w:val="24"/>
          <w:lang w:val="es-ES_tradnl"/>
        </w:rPr>
        <w:t xml:space="preserve">Otro tipo de tendencias que se observan son el otorgamiento o restricción de apoyos partidistas como la desconcentración y descentralización de los sistemas unitarios y algunos federales, la fragmentación de los sistemas de partidos a través de la instauración de sistemas de representación proporcional  y sistemas de cooperación de los sistemas de partido a raíz de los nuevos sistemas electorales propuestos.  La tendencia en las elecciones presidenciales supuso el distanciamiento del sistema de mayorías simple por el de mayoría </w:t>
      </w:r>
      <w:r w:rsidRPr="00B40618">
        <w:rPr>
          <w:szCs w:val="24"/>
          <w:lang w:val="es-ES_tradnl"/>
        </w:rPr>
        <w:lastRenderedPageBreak/>
        <w:t xml:space="preserve">absoluta con dos vueltas; la concurrencia de las elecciones presidenciales y legislativas a favor del mantenimiento de una mayoría de parte del Ejecutivo, límites a la reelección presidencial, la existencia de una segunda cámara en aquellos países no federados, mejoró la representación regional combinada con la proporcionalidad de ambas cámaras cuyo fin ha consistido en reducir los sistemas de mayorías unipartidarias por sistemas fragmentados obligados a crear gobiernos de coalición </w:t>
      </w:r>
      <w:r w:rsidRPr="00B40618">
        <w:rPr>
          <w:szCs w:val="24"/>
          <w:lang w:val="es-MX"/>
        </w:rPr>
        <w:t>(Payne et. al., 2003).</w:t>
      </w:r>
    </w:p>
    <w:p w:rsidR="00B40618" w:rsidRPr="00B40618" w:rsidRDefault="00B40618" w:rsidP="00B40618">
      <w:pPr>
        <w:tabs>
          <w:tab w:val="left" w:pos="-720"/>
        </w:tabs>
        <w:spacing w:line="360" w:lineRule="auto"/>
        <w:jc w:val="both"/>
        <w:rPr>
          <w:lang w:val="es-MX"/>
        </w:rPr>
      </w:pPr>
      <w:r w:rsidRPr="00B40618">
        <w:rPr>
          <w:lang w:val="es-ES_tradnl"/>
        </w:rPr>
        <w:t>Finalmente, los efectos de estos cambios han supuesto la integración de Congresos y gobiernos destinados a generar sistemas de cooperación que favorezcan el cambio institucional.</w:t>
      </w:r>
      <w:r w:rsidRPr="00B40618">
        <w:rPr>
          <w:lang w:val="es-MX"/>
        </w:rPr>
        <w:t xml:space="preserve"> Actualmente, los sistemas multipartidistas funcionan de acuerdo a su grado de fragmentación, dando como resultado tres escenarios potenciales: </w:t>
      </w:r>
      <w:r w:rsidRPr="00B40618">
        <w:rPr>
          <w:i/>
          <w:lang w:val="es-MX"/>
        </w:rPr>
        <w:t>gobiernos unipartidarios</w:t>
      </w:r>
      <w:r w:rsidRPr="00B40618">
        <w:rPr>
          <w:lang w:val="es-MX"/>
        </w:rPr>
        <w:t xml:space="preserve"> con una mayoría parlamentaria contraria al partido del gobierno; o gobiernos con fuerzas políticas desiguales en tamaño, a favor de una de ellas. En este modelo se incrementa el riesgo de bloqueo y conflicto para el primer caso; u ofrece canales de cooperación si la mayoría corresponde al gobierno en turno.  G</w:t>
      </w:r>
      <w:r w:rsidRPr="00B40618">
        <w:rPr>
          <w:i/>
          <w:lang w:val="es-MX"/>
        </w:rPr>
        <w:t>obiernos minoritarios</w:t>
      </w:r>
      <w:r w:rsidRPr="00B40618">
        <w:rPr>
          <w:lang w:val="es-MX"/>
        </w:rPr>
        <w:t xml:space="preserve"> donde ningún partido ostenta la mayoría, en este caso particular la negociación de acuerdos parlamentarios es puntual y provisional y supeditada a la proximidad de los partidos en las políticas concretas y; </w:t>
      </w:r>
      <w:r w:rsidRPr="00B40618">
        <w:rPr>
          <w:i/>
          <w:lang w:val="es-MX"/>
        </w:rPr>
        <w:t xml:space="preserve">gobiernos de coalición </w:t>
      </w:r>
      <w:r w:rsidRPr="00B40618">
        <w:rPr>
          <w:lang w:val="es-MX"/>
        </w:rPr>
        <w:t xml:space="preserve">con fuerzas políticas similares en tamaño donde la negociación y el acuerdo es estable, cuya duración depende de la celebración de las siguientes elecciones (Reniu Vilamala, 2008, pp. 21-23). </w:t>
      </w:r>
    </w:p>
    <w:p w:rsidR="00B40618" w:rsidRDefault="00B40618" w:rsidP="00B40618">
      <w:pPr>
        <w:tabs>
          <w:tab w:val="left" w:pos="-720"/>
        </w:tabs>
        <w:spacing w:line="360" w:lineRule="auto"/>
        <w:jc w:val="both"/>
        <w:rPr>
          <w:lang w:val="es-MX"/>
        </w:rPr>
      </w:pPr>
      <w:r w:rsidRPr="00B40618">
        <w:rPr>
          <w:lang w:val="es-MX"/>
        </w:rPr>
        <w:t>El resultado de estas transformaciones se observa en el efecto en el equilibrio, mientras que los sistemas hegemónicos que favorecen la figura presidencial con facultades extraordinarias tienden a generar polos de imprevisibilidad respecto al apoyo que recibe el presidente de parte de los partidos en el Congreso, los que cuentan con rasgos parlamentarios que restringen los poderes presidenciales o los parlamentarizados que introducen la figura de primer ministro o censura, lo cual favorece la negociación puntual para el primer caso y estable para el segundo (ver cuadro 4).</w:t>
      </w:r>
    </w:p>
    <w:p w:rsidR="005E3AC9" w:rsidRDefault="005E3AC9" w:rsidP="00B40618">
      <w:pPr>
        <w:tabs>
          <w:tab w:val="left" w:pos="-720"/>
        </w:tabs>
        <w:spacing w:line="360" w:lineRule="auto"/>
        <w:jc w:val="both"/>
        <w:rPr>
          <w:lang w:val="es-MX"/>
        </w:rPr>
      </w:pPr>
    </w:p>
    <w:p w:rsidR="005E3AC9" w:rsidRDefault="005E3AC9" w:rsidP="00B40618">
      <w:pPr>
        <w:tabs>
          <w:tab w:val="left" w:pos="-720"/>
        </w:tabs>
        <w:spacing w:line="360" w:lineRule="auto"/>
        <w:jc w:val="both"/>
        <w:rPr>
          <w:lang w:val="es-MX"/>
        </w:rPr>
      </w:pPr>
    </w:p>
    <w:p w:rsidR="005E3AC9" w:rsidRDefault="005E3AC9" w:rsidP="00B40618">
      <w:pPr>
        <w:tabs>
          <w:tab w:val="left" w:pos="-720"/>
        </w:tabs>
        <w:spacing w:line="360" w:lineRule="auto"/>
        <w:jc w:val="both"/>
        <w:rPr>
          <w:lang w:val="es-MX"/>
        </w:rPr>
      </w:pPr>
    </w:p>
    <w:p w:rsidR="005E3AC9" w:rsidRDefault="005E3AC9" w:rsidP="00B40618">
      <w:pPr>
        <w:tabs>
          <w:tab w:val="left" w:pos="-720"/>
        </w:tabs>
        <w:spacing w:line="360" w:lineRule="auto"/>
        <w:jc w:val="both"/>
        <w:rPr>
          <w:lang w:val="es-MX"/>
        </w:rPr>
      </w:pPr>
    </w:p>
    <w:p w:rsidR="005E3AC9" w:rsidRDefault="005E3AC9" w:rsidP="00B40618">
      <w:pPr>
        <w:tabs>
          <w:tab w:val="left" w:pos="-720"/>
        </w:tabs>
        <w:spacing w:line="360" w:lineRule="auto"/>
        <w:jc w:val="both"/>
        <w:rPr>
          <w:lang w:val="es-MX"/>
        </w:rPr>
      </w:pPr>
    </w:p>
    <w:p w:rsidR="005E3AC9" w:rsidRDefault="005E3AC9" w:rsidP="00B40618">
      <w:pPr>
        <w:tabs>
          <w:tab w:val="left" w:pos="-720"/>
        </w:tabs>
        <w:spacing w:line="360" w:lineRule="auto"/>
        <w:jc w:val="both"/>
        <w:rPr>
          <w:lang w:val="es-MX"/>
        </w:rPr>
      </w:pPr>
    </w:p>
    <w:p w:rsidR="005E3AC9" w:rsidRDefault="005E3AC9" w:rsidP="00B40618">
      <w:pPr>
        <w:tabs>
          <w:tab w:val="left" w:pos="-720"/>
        </w:tabs>
        <w:spacing w:line="360" w:lineRule="auto"/>
        <w:jc w:val="both"/>
        <w:rPr>
          <w:rFonts w:ascii="Arial" w:hAnsi="Arial" w:cs="Arial"/>
          <w:lang w:val="es-MX"/>
        </w:rPr>
      </w:pPr>
    </w:p>
    <w:p w:rsidR="00B40618" w:rsidRPr="000C16EE" w:rsidRDefault="00B40618" w:rsidP="00B40618">
      <w:pPr>
        <w:jc w:val="both"/>
        <w:rPr>
          <w:rFonts w:ascii="Arial" w:hAnsi="Arial" w:cs="Arial"/>
          <w:sz w:val="20"/>
          <w:szCs w:val="20"/>
          <w:lang w:val="es-MX"/>
        </w:rPr>
      </w:pPr>
    </w:p>
    <w:tbl>
      <w:tblPr>
        <w:tblStyle w:val="Tablaconcuadrcula"/>
        <w:tblW w:w="0" w:type="auto"/>
        <w:jc w:val="center"/>
        <w:tblLook w:val="04A0" w:firstRow="1" w:lastRow="0" w:firstColumn="1" w:lastColumn="0" w:noHBand="0" w:noVBand="1"/>
      </w:tblPr>
      <w:tblGrid>
        <w:gridCol w:w="2284"/>
        <w:gridCol w:w="3587"/>
        <w:gridCol w:w="2904"/>
      </w:tblGrid>
      <w:tr w:rsidR="00B40618" w:rsidRPr="00130951" w:rsidTr="005E3AC9">
        <w:trPr>
          <w:cantSplit/>
          <w:trHeight w:val="547"/>
          <w:jc w:val="center"/>
        </w:trPr>
        <w:tc>
          <w:tcPr>
            <w:tcW w:w="8775" w:type="dxa"/>
            <w:gridSpan w:val="3"/>
          </w:tcPr>
          <w:p w:rsidR="00B40618" w:rsidRPr="00F85CDA" w:rsidRDefault="00B40618" w:rsidP="00CE4D96">
            <w:pPr>
              <w:jc w:val="both"/>
              <w:rPr>
                <w:rFonts w:ascii="Arial" w:hAnsi="Arial" w:cs="Arial"/>
                <w:lang w:val="es-MX"/>
              </w:rPr>
            </w:pPr>
            <w:r w:rsidRPr="00F85CDA">
              <w:rPr>
                <w:rFonts w:ascii="Arial" w:hAnsi="Arial" w:cs="Arial"/>
                <w:lang w:val="es-MX"/>
              </w:rPr>
              <w:t>Cuadro 4. Cambio institucional y equilibrio en sistemas presidenciales</w:t>
            </w:r>
          </w:p>
        </w:tc>
      </w:tr>
      <w:tr w:rsidR="00B40618" w:rsidRPr="00F85CDA" w:rsidTr="005E3AC9">
        <w:trPr>
          <w:cantSplit/>
          <w:trHeight w:val="547"/>
          <w:jc w:val="center"/>
        </w:trPr>
        <w:tc>
          <w:tcPr>
            <w:tcW w:w="2284" w:type="dxa"/>
          </w:tcPr>
          <w:p w:rsidR="00B40618" w:rsidRPr="00F85CDA" w:rsidRDefault="00B40618" w:rsidP="00CE4D96">
            <w:pPr>
              <w:jc w:val="both"/>
              <w:rPr>
                <w:rFonts w:ascii="Arial" w:hAnsi="Arial" w:cs="Arial"/>
              </w:rPr>
            </w:pPr>
            <w:r w:rsidRPr="00F85CDA">
              <w:rPr>
                <w:rFonts w:ascii="Arial" w:hAnsi="Arial" w:cs="Arial"/>
              </w:rPr>
              <w:t>Tipo de equilibrio</w:t>
            </w:r>
          </w:p>
        </w:tc>
        <w:tc>
          <w:tcPr>
            <w:tcW w:w="3587" w:type="dxa"/>
          </w:tcPr>
          <w:p w:rsidR="00B40618" w:rsidRPr="00F85CDA" w:rsidRDefault="00B40618" w:rsidP="00CE4D96">
            <w:pPr>
              <w:jc w:val="both"/>
              <w:rPr>
                <w:rFonts w:ascii="Arial" w:hAnsi="Arial" w:cs="Arial"/>
                <w:lang w:val="es-MX"/>
              </w:rPr>
            </w:pPr>
            <w:r w:rsidRPr="00F85CDA">
              <w:rPr>
                <w:rFonts w:ascii="Arial" w:hAnsi="Arial" w:cs="Arial"/>
                <w:lang w:val="es-MX"/>
              </w:rPr>
              <w:t>Tipo de cooperación</w:t>
            </w:r>
          </w:p>
        </w:tc>
        <w:tc>
          <w:tcPr>
            <w:tcW w:w="2904" w:type="dxa"/>
          </w:tcPr>
          <w:p w:rsidR="00B40618" w:rsidRPr="00F85CDA" w:rsidRDefault="00B40618" w:rsidP="00CE4D96">
            <w:pPr>
              <w:jc w:val="both"/>
              <w:rPr>
                <w:rFonts w:ascii="Arial" w:hAnsi="Arial" w:cs="Arial"/>
              </w:rPr>
            </w:pPr>
            <w:r w:rsidRPr="00F85CDA">
              <w:rPr>
                <w:rFonts w:ascii="Arial" w:hAnsi="Arial" w:cs="Arial"/>
              </w:rPr>
              <w:t>Efectos en el equilibrio</w:t>
            </w:r>
          </w:p>
        </w:tc>
      </w:tr>
      <w:tr w:rsidR="00B40618" w:rsidRPr="00F85CDA" w:rsidTr="005E3AC9">
        <w:trPr>
          <w:cantSplit/>
          <w:trHeight w:val="1136"/>
          <w:jc w:val="center"/>
        </w:trPr>
        <w:tc>
          <w:tcPr>
            <w:tcW w:w="2284" w:type="dxa"/>
          </w:tcPr>
          <w:p w:rsidR="00B40618" w:rsidRPr="00F85CDA" w:rsidRDefault="00B40618" w:rsidP="00CE4D96">
            <w:pPr>
              <w:jc w:val="both"/>
              <w:rPr>
                <w:rFonts w:ascii="Arial" w:hAnsi="Arial" w:cs="Arial"/>
                <w:lang w:val="es-MX"/>
              </w:rPr>
            </w:pPr>
            <w:r w:rsidRPr="00F85CDA">
              <w:rPr>
                <w:rFonts w:ascii="Arial" w:hAnsi="Arial" w:cs="Arial"/>
                <w:lang w:val="es-MX"/>
              </w:rPr>
              <w:t>Hegemónico o facultades extraordinarias del presidente</w:t>
            </w:r>
          </w:p>
          <w:p w:rsidR="00B40618" w:rsidRPr="00F85CDA" w:rsidRDefault="00B40618" w:rsidP="00CE4D96">
            <w:pPr>
              <w:jc w:val="both"/>
              <w:rPr>
                <w:rFonts w:ascii="Arial" w:hAnsi="Arial" w:cs="Arial"/>
                <w:lang w:val="es-MX"/>
              </w:rPr>
            </w:pPr>
          </w:p>
        </w:tc>
        <w:tc>
          <w:tcPr>
            <w:tcW w:w="3587" w:type="dxa"/>
          </w:tcPr>
          <w:p w:rsidR="00B40618" w:rsidRPr="00F85CDA" w:rsidRDefault="00B40618" w:rsidP="00CE4D96">
            <w:pPr>
              <w:jc w:val="both"/>
              <w:rPr>
                <w:rFonts w:ascii="Arial" w:hAnsi="Arial" w:cs="Arial"/>
                <w:lang w:val="es-MX"/>
              </w:rPr>
            </w:pPr>
            <w:r w:rsidRPr="00F85CDA">
              <w:rPr>
                <w:rFonts w:ascii="Arial" w:hAnsi="Arial" w:cs="Arial"/>
                <w:lang w:val="es-MX"/>
              </w:rPr>
              <w:t>Unipartidario (mayoría parlamentaria contraria al partido del Presidente, o predominio de uno de los partidos)</w:t>
            </w:r>
          </w:p>
        </w:tc>
        <w:tc>
          <w:tcPr>
            <w:tcW w:w="2904" w:type="dxa"/>
          </w:tcPr>
          <w:p w:rsidR="00B40618" w:rsidRPr="00F85CDA" w:rsidRDefault="00B40618" w:rsidP="00CE4D96">
            <w:pPr>
              <w:jc w:val="both"/>
              <w:rPr>
                <w:rFonts w:ascii="Arial" w:hAnsi="Arial" w:cs="Arial"/>
              </w:rPr>
            </w:pPr>
            <w:r w:rsidRPr="00F85CDA">
              <w:rPr>
                <w:rFonts w:ascii="Arial" w:hAnsi="Arial" w:cs="Arial"/>
              </w:rPr>
              <w:t>Incrementa el bloqueo presidencial</w:t>
            </w:r>
          </w:p>
        </w:tc>
      </w:tr>
      <w:tr w:rsidR="00B40618" w:rsidRPr="00130951" w:rsidTr="005E3AC9">
        <w:trPr>
          <w:cantSplit/>
          <w:trHeight w:val="1136"/>
          <w:jc w:val="center"/>
        </w:trPr>
        <w:tc>
          <w:tcPr>
            <w:tcW w:w="2284" w:type="dxa"/>
          </w:tcPr>
          <w:p w:rsidR="00B40618" w:rsidRPr="00F85CDA" w:rsidRDefault="00B40618" w:rsidP="00CE4D96">
            <w:pPr>
              <w:jc w:val="both"/>
              <w:rPr>
                <w:rFonts w:ascii="Arial" w:hAnsi="Arial" w:cs="Arial"/>
                <w:lang w:val="es-MX"/>
              </w:rPr>
            </w:pPr>
            <w:r w:rsidRPr="00F85CDA">
              <w:rPr>
                <w:rFonts w:ascii="Arial" w:hAnsi="Arial" w:cs="Arial"/>
                <w:lang w:val="es-MX"/>
              </w:rPr>
              <w:t>Con matices parlamentarios, restringen los poderes presidenciales</w:t>
            </w:r>
          </w:p>
        </w:tc>
        <w:tc>
          <w:tcPr>
            <w:tcW w:w="3587" w:type="dxa"/>
          </w:tcPr>
          <w:p w:rsidR="00B40618" w:rsidRPr="00F85CDA" w:rsidRDefault="00B40618" w:rsidP="00CE4D96">
            <w:pPr>
              <w:jc w:val="both"/>
              <w:rPr>
                <w:rFonts w:ascii="Arial" w:hAnsi="Arial" w:cs="Arial"/>
                <w:lang w:val="es-MX"/>
              </w:rPr>
            </w:pPr>
            <w:r w:rsidRPr="00F85CDA">
              <w:rPr>
                <w:rFonts w:ascii="Arial" w:hAnsi="Arial" w:cs="Arial"/>
                <w:lang w:val="es-MX"/>
              </w:rPr>
              <w:t xml:space="preserve">Gobierno minoritario (ningún partido ostenta la mayoría) </w:t>
            </w:r>
          </w:p>
        </w:tc>
        <w:tc>
          <w:tcPr>
            <w:tcW w:w="2904" w:type="dxa"/>
          </w:tcPr>
          <w:p w:rsidR="00B40618" w:rsidRPr="00F85CDA" w:rsidRDefault="00B40618" w:rsidP="00CE4D96">
            <w:pPr>
              <w:jc w:val="both"/>
              <w:rPr>
                <w:rFonts w:ascii="Arial" w:hAnsi="Arial" w:cs="Arial"/>
                <w:lang w:val="es-MX"/>
              </w:rPr>
            </w:pPr>
            <w:r w:rsidRPr="00F85CDA">
              <w:rPr>
                <w:rFonts w:ascii="Arial" w:hAnsi="Arial" w:cs="Arial"/>
                <w:lang w:val="es-MX"/>
              </w:rPr>
              <w:t>Negociación de acuerdos puntuales y provisionales. Condiciona la cooperación a las temáticas puntuales</w:t>
            </w:r>
          </w:p>
        </w:tc>
      </w:tr>
      <w:tr w:rsidR="00B40618" w:rsidRPr="00130951" w:rsidTr="005E3AC9">
        <w:trPr>
          <w:cantSplit/>
          <w:trHeight w:val="1136"/>
          <w:jc w:val="center"/>
        </w:trPr>
        <w:tc>
          <w:tcPr>
            <w:tcW w:w="2284" w:type="dxa"/>
          </w:tcPr>
          <w:p w:rsidR="00B40618" w:rsidRPr="00F85CDA" w:rsidRDefault="00B40618" w:rsidP="00CE4D96">
            <w:pPr>
              <w:jc w:val="both"/>
              <w:rPr>
                <w:rFonts w:ascii="Arial" w:hAnsi="Arial" w:cs="Arial"/>
                <w:lang w:val="es-MX"/>
              </w:rPr>
            </w:pPr>
            <w:r w:rsidRPr="00F85CDA">
              <w:rPr>
                <w:rFonts w:ascii="Arial" w:hAnsi="Arial" w:cs="Arial"/>
                <w:lang w:val="es-MX"/>
              </w:rPr>
              <w:t>Parlamentarizado</w:t>
            </w:r>
            <w:r>
              <w:rPr>
                <w:rFonts w:ascii="Arial" w:hAnsi="Arial" w:cs="Arial"/>
                <w:lang w:val="es-MX"/>
              </w:rPr>
              <w:t>,</w:t>
            </w:r>
            <w:r w:rsidRPr="00F85CDA">
              <w:rPr>
                <w:rFonts w:ascii="Arial" w:hAnsi="Arial" w:cs="Arial"/>
                <w:lang w:val="es-MX"/>
              </w:rPr>
              <w:t xml:space="preserve"> introduce la figura de primer ministro, la censura o la disolución del </w:t>
            </w:r>
            <w:r>
              <w:rPr>
                <w:rFonts w:ascii="Arial" w:hAnsi="Arial" w:cs="Arial"/>
                <w:lang w:val="es-MX"/>
              </w:rPr>
              <w:t>Congreso</w:t>
            </w:r>
          </w:p>
        </w:tc>
        <w:tc>
          <w:tcPr>
            <w:tcW w:w="3587" w:type="dxa"/>
          </w:tcPr>
          <w:p w:rsidR="00B40618" w:rsidRPr="00F85CDA" w:rsidRDefault="00B40618" w:rsidP="00CE4D96">
            <w:pPr>
              <w:jc w:val="both"/>
              <w:rPr>
                <w:rFonts w:ascii="Arial" w:hAnsi="Arial" w:cs="Arial"/>
                <w:lang w:val="es-MX"/>
              </w:rPr>
            </w:pPr>
            <w:r w:rsidRPr="00F85CDA">
              <w:rPr>
                <w:rFonts w:ascii="Arial" w:hAnsi="Arial" w:cs="Arial"/>
                <w:lang w:val="es-MX"/>
              </w:rPr>
              <w:t xml:space="preserve">Gobierno de coalición (fuerzas políticas similares en tamaño) </w:t>
            </w:r>
          </w:p>
        </w:tc>
        <w:tc>
          <w:tcPr>
            <w:tcW w:w="2904" w:type="dxa"/>
          </w:tcPr>
          <w:p w:rsidR="00B40618" w:rsidRPr="00F85CDA" w:rsidRDefault="00B40618" w:rsidP="00CE4D96">
            <w:pPr>
              <w:jc w:val="both"/>
              <w:rPr>
                <w:rFonts w:ascii="Arial" w:hAnsi="Arial" w:cs="Arial"/>
                <w:lang w:val="es-MX"/>
              </w:rPr>
            </w:pPr>
            <w:r w:rsidRPr="00F85CDA">
              <w:rPr>
                <w:rFonts w:ascii="Arial" w:hAnsi="Arial" w:cs="Arial"/>
                <w:lang w:val="es-MX"/>
              </w:rPr>
              <w:t>Negociación de acuerdos estables. Incentivan la cooperación con el presidente</w:t>
            </w:r>
          </w:p>
        </w:tc>
      </w:tr>
    </w:tbl>
    <w:p w:rsidR="00B40618" w:rsidRPr="00F85CDA" w:rsidRDefault="00B40618" w:rsidP="005E3AC9">
      <w:pPr>
        <w:jc w:val="center"/>
        <w:rPr>
          <w:rFonts w:ascii="Arial" w:hAnsi="Arial" w:cs="Arial"/>
          <w:sz w:val="20"/>
          <w:szCs w:val="20"/>
          <w:lang w:val="es-MX"/>
        </w:rPr>
      </w:pPr>
      <w:r w:rsidRPr="00F85CDA">
        <w:rPr>
          <w:rFonts w:ascii="Arial" w:hAnsi="Arial" w:cs="Arial"/>
          <w:sz w:val="20"/>
          <w:szCs w:val="20"/>
          <w:lang w:val="es-MX"/>
        </w:rPr>
        <w:t>Elaboración</w:t>
      </w:r>
      <w:r>
        <w:rPr>
          <w:rFonts w:ascii="Arial" w:hAnsi="Arial" w:cs="Arial"/>
          <w:sz w:val="20"/>
          <w:szCs w:val="20"/>
          <w:lang w:val="es-MX"/>
        </w:rPr>
        <w:t>:</w:t>
      </w:r>
      <w:r w:rsidRPr="00F85CDA">
        <w:rPr>
          <w:rFonts w:ascii="Arial" w:hAnsi="Arial" w:cs="Arial"/>
          <w:sz w:val="20"/>
          <w:szCs w:val="20"/>
          <w:lang w:val="es-MX"/>
        </w:rPr>
        <w:t xml:space="preserve"> propia con base en Reniu Vilamala (2008 y 2011)</w:t>
      </w:r>
      <w:r>
        <w:rPr>
          <w:rFonts w:ascii="Arial" w:hAnsi="Arial" w:cs="Arial"/>
          <w:sz w:val="20"/>
          <w:szCs w:val="20"/>
          <w:lang w:val="es-MX"/>
        </w:rPr>
        <w:t>,</w:t>
      </w:r>
      <w:r w:rsidRPr="00F85CDA">
        <w:rPr>
          <w:rFonts w:ascii="Arial" w:hAnsi="Arial" w:cs="Arial"/>
          <w:sz w:val="20"/>
          <w:szCs w:val="20"/>
          <w:lang w:val="es-MX"/>
        </w:rPr>
        <w:t xml:space="preserve"> Payne et al. (2003)</w:t>
      </w:r>
      <w:r>
        <w:rPr>
          <w:rFonts w:ascii="Arial" w:hAnsi="Arial" w:cs="Arial"/>
          <w:sz w:val="20"/>
          <w:szCs w:val="20"/>
          <w:lang w:val="es-MX"/>
        </w:rPr>
        <w:t>,</w:t>
      </w:r>
      <w:r w:rsidRPr="00F85CDA">
        <w:rPr>
          <w:rFonts w:ascii="Arial" w:hAnsi="Arial" w:cs="Arial"/>
          <w:sz w:val="20"/>
          <w:szCs w:val="20"/>
          <w:lang w:val="es-MX"/>
        </w:rPr>
        <w:t xml:space="preserve"> Shugart (2000) y Negretto (2009).</w:t>
      </w:r>
    </w:p>
    <w:p w:rsidR="00B40618" w:rsidRPr="000F5235" w:rsidRDefault="00B40618" w:rsidP="00B40618">
      <w:pPr>
        <w:spacing w:line="360" w:lineRule="auto"/>
        <w:jc w:val="both"/>
        <w:rPr>
          <w:rFonts w:ascii="Arial" w:hAnsi="Arial" w:cs="Arial"/>
          <w:lang w:val="es-MX"/>
        </w:rPr>
      </w:pPr>
    </w:p>
    <w:p w:rsidR="00B40618" w:rsidRPr="00B40618" w:rsidRDefault="00B40618" w:rsidP="00B40618">
      <w:pPr>
        <w:pStyle w:val="Cuerpo"/>
        <w:spacing w:before="120" w:after="120" w:line="360" w:lineRule="auto"/>
        <w:jc w:val="both"/>
        <w:rPr>
          <w:rFonts w:hAnsi="Times New Roman" w:cs="Times New Roman"/>
          <w:b/>
          <w:lang w:val="es-MX"/>
        </w:rPr>
      </w:pPr>
      <w:r w:rsidRPr="00B40618">
        <w:rPr>
          <w:rFonts w:hAnsi="Times New Roman" w:cs="Times New Roman"/>
          <w:b/>
          <w:lang w:val="es-MX"/>
        </w:rPr>
        <w:t>Rendición de cuentas vertical</w:t>
      </w:r>
    </w:p>
    <w:p w:rsidR="00B40618" w:rsidRPr="00B40618" w:rsidRDefault="00B40618" w:rsidP="00B40618">
      <w:pPr>
        <w:pStyle w:val="Cuerpo"/>
        <w:spacing w:before="120" w:after="120" w:line="360" w:lineRule="auto"/>
        <w:jc w:val="both"/>
        <w:rPr>
          <w:rFonts w:hAnsi="Times New Roman" w:cs="Times New Roman"/>
        </w:rPr>
      </w:pPr>
      <w:r w:rsidRPr="00B40618">
        <w:rPr>
          <w:rFonts w:hAnsi="Times New Roman" w:cs="Times New Roman"/>
          <w:lang w:val="es-MX"/>
        </w:rPr>
        <w:t>A la r</w:t>
      </w:r>
      <w:r w:rsidRPr="00B40618">
        <w:rPr>
          <w:rFonts w:hAnsi="Times New Roman" w:cs="Times New Roman"/>
        </w:rPr>
        <w:t xml:space="preserve">endición de cuentas vertical, O’Donnell (1998 y 2007) la subdivide en electoral y social. El subtipo electoral lo entiende como el mecanismo que utilizan los ciudadanos para sancionar o castigar a los gobernantes a través del voto. No  obstante, este tipo de rendición de cuentas es más efectivo si la reelección de los legisladores es permitida y si, además, el ciudadano cuenta con información suficiente de su legislador para evaluar su desempeño, antecedentes e incluso capacidades. </w:t>
      </w:r>
      <w:r w:rsidRPr="00B40618">
        <w:rPr>
          <w:rFonts w:hAnsi="Times New Roman" w:cs="Times New Roman"/>
          <w:lang w:val="pt-PT"/>
        </w:rPr>
        <w:t xml:space="preserve">Tanto </w:t>
      </w:r>
      <w:r w:rsidRPr="00B40618">
        <w:rPr>
          <w:rFonts w:hAnsi="Times New Roman" w:cs="Times New Roman"/>
          <w:i/>
        </w:rPr>
        <w:t>la reelección</w:t>
      </w:r>
      <w:r w:rsidRPr="00B40618">
        <w:rPr>
          <w:rFonts w:hAnsi="Times New Roman" w:cs="Times New Roman"/>
        </w:rPr>
        <w:t xml:space="preserve"> como el </w:t>
      </w:r>
      <w:r w:rsidRPr="00B40618">
        <w:rPr>
          <w:rFonts w:hAnsi="Times New Roman" w:cs="Times New Roman"/>
          <w:i/>
        </w:rPr>
        <w:t>acceso a la información</w:t>
      </w:r>
      <w:r w:rsidRPr="00B40618">
        <w:rPr>
          <w:rFonts w:hAnsi="Times New Roman" w:cs="Times New Roman"/>
        </w:rPr>
        <w:t xml:space="preserve"> son dos instrumentos que los votantes deben tener garantizados para ejercer control electoral sobre sus representantes.</w:t>
      </w:r>
    </w:p>
    <w:p w:rsidR="00B40618" w:rsidRPr="00B40618" w:rsidRDefault="00B40618" w:rsidP="00B40618">
      <w:pPr>
        <w:pStyle w:val="Cuerpo"/>
        <w:spacing w:before="120" w:after="120" w:line="360" w:lineRule="auto"/>
        <w:jc w:val="both"/>
        <w:rPr>
          <w:rFonts w:hAnsi="Times New Roman" w:cs="Times New Roman"/>
          <w:i/>
        </w:rPr>
      </w:pPr>
      <w:r w:rsidRPr="00B40618">
        <w:rPr>
          <w:rFonts w:hAnsi="Times New Roman" w:cs="Times New Roman"/>
          <w:i/>
        </w:rPr>
        <w:t>La reelección como control ciudadano</w:t>
      </w:r>
    </w:p>
    <w:p w:rsidR="00B40618" w:rsidRPr="00B40618" w:rsidRDefault="00B40618" w:rsidP="00B40618">
      <w:pPr>
        <w:pStyle w:val="Cuerpo"/>
        <w:spacing w:before="120" w:after="120" w:line="360" w:lineRule="auto"/>
        <w:jc w:val="both"/>
        <w:rPr>
          <w:rFonts w:hAnsi="Times New Roman" w:cs="Times New Roman"/>
        </w:rPr>
      </w:pPr>
      <w:r w:rsidRPr="00B40618">
        <w:rPr>
          <w:rFonts w:hAnsi="Times New Roman" w:cs="Times New Roman"/>
        </w:rPr>
        <w:lastRenderedPageBreak/>
        <w:t>Hablar de reelección legislativa implica remitirse a los orígenes de la representación parlamentaria y, por lo tanto, al propósito</w:t>
      </w:r>
      <w:r w:rsidRPr="00B40618">
        <w:rPr>
          <w:rFonts w:hAnsi="Times New Roman" w:cs="Times New Roman"/>
          <w:lang w:val="pt-PT"/>
        </w:rPr>
        <w:t xml:space="preserve"> principal de e</w:t>
      </w:r>
      <w:r w:rsidRPr="00B40618">
        <w:rPr>
          <w:rFonts w:hAnsi="Times New Roman" w:cs="Times New Roman"/>
        </w:rPr>
        <w:t>sta, que es “servir a los electores”. Este derecho investido por el manto del voto popular, entraña dos aspectos: el sentido de responsabilidad frente a los ciudadanos (rendición de cuentas), y la experiencia acumulada como parte de la fortaleza institucional del Poder Legislativo frente a la complejidad y la especialización de las decisiones públicas y las tareas parlamentarias.</w:t>
      </w:r>
    </w:p>
    <w:p w:rsidR="00B40618" w:rsidRDefault="00B40618" w:rsidP="00B40618">
      <w:pPr>
        <w:pStyle w:val="Cuerpo"/>
        <w:spacing w:before="120" w:after="120" w:line="360" w:lineRule="auto"/>
        <w:jc w:val="both"/>
        <w:rPr>
          <w:rFonts w:ascii="Arial" w:hAnsi="Arial" w:cs="Arial"/>
        </w:rPr>
      </w:pPr>
      <w:r w:rsidRPr="00B40618">
        <w:rPr>
          <w:rFonts w:hAnsi="Times New Roman" w:cs="Times New Roman"/>
        </w:rPr>
        <w:t>Con respecto a la experiencia acumulada son pocos los países latinoamericanos que mantienen niveles constantes de permanencia en el cargo. Chile, Argentina y Brasil, en el periodo de 1995 a 2008, mantuvieron un promedio por encima del 50 % de legisladores que han sido reelectos en la cámara baja; mientras países como México, Costa Rica (con reelección no consecutiva), Bolivia, Ecuador y Guatemala registran los promedios más reducidos que oscilan entre 3 y 13 % de integrantes reelectos o reincidentes (para aquellos países sin reelección consecutiva) en el mismo cargo. La reelección en el senado (en sistemas bicamerales para la región) es similar con algunos ajustes al alza (ver  gráfica 1).</w:t>
      </w:r>
    </w:p>
    <w:p w:rsidR="00B40618" w:rsidRPr="00F85CDA" w:rsidRDefault="00B40618" w:rsidP="00B40618">
      <w:pPr>
        <w:pStyle w:val="Descripcin"/>
        <w:keepNext/>
        <w:jc w:val="both"/>
        <w:rPr>
          <w:rFonts w:ascii="Arial" w:hAnsi="Arial" w:cs="Arial"/>
          <w:b w:val="0"/>
          <w:color w:val="auto"/>
          <w:sz w:val="20"/>
          <w:szCs w:val="20"/>
          <w:lang w:val="es-MX"/>
        </w:rPr>
      </w:pPr>
      <w:r w:rsidRPr="00F85CDA">
        <w:rPr>
          <w:rFonts w:ascii="Arial" w:hAnsi="Arial" w:cs="Arial"/>
          <w:b w:val="0"/>
          <w:color w:val="auto"/>
          <w:sz w:val="20"/>
          <w:szCs w:val="20"/>
          <w:lang w:val="es-MX"/>
        </w:rPr>
        <w:t>Gráfica 1. Reelección Legislativa en América Latina</w:t>
      </w:r>
    </w:p>
    <w:p w:rsidR="00B40618" w:rsidRPr="00F85CDA" w:rsidRDefault="00B40618" w:rsidP="005E3AC9">
      <w:pPr>
        <w:pStyle w:val="Cuerpo"/>
        <w:spacing w:before="120" w:after="120" w:line="360" w:lineRule="auto"/>
        <w:jc w:val="center"/>
        <w:rPr>
          <w:rFonts w:ascii="Arial" w:hAnsi="Arial" w:cs="Arial"/>
          <w:sz w:val="20"/>
          <w:szCs w:val="20"/>
        </w:rPr>
      </w:pPr>
      <w:r w:rsidRPr="00F85CDA">
        <w:rPr>
          <w:rFonts w:ascii="Arial" w:hAnsi="Arial" w:cs="Arial"/>
          <w:noProof/>
          <w:sz w:val="20"/>
          <w:szCs w:val="20"/>
          <w:lang w:val="es-MX" w:eastAsia="es-MX"/>
        </w:rPr>
        <w:drawing>
          <wp:inline distT="0" distB="0" distL="0" distR="0" wp14:anchorId="18B228BD" wp14:editId="05D19EB3">
            <wp:extent cx="5486400" cy="3200400"/>
            <wp:effectExtent l="0" t="0" r="19050" b="1905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40618" w:rsidRPr="00F85CDA" w:rsidRDefault="00B40618" w:rsidP="005E3AC9">
      <w:pPr>
        <w:pStyle w:val="Cuerpo"/>
        <w:spacing w:before="120" w:after="120"/>
        <w:jc w:val="center"/>
        <w:rPr>
          <w:rFonts w:ascii="Arial" w:hAnsi="Arial" w:cs="Arial"/>
          <w:sz w:val="20"/>
          <w:szCs w:val="20"/>
          <w:lang w:val="it-IT"/>
        </w:rPr>
      </w:pPr>
      <w:r w:rsidRPr="00F85CDA">
        <w:rPr>
          <w:rFonts w:ascii="Arial" w:hAnsi="Arial" w:cs="Arial"/>
          <w:sz w:val="20"/>
          <w:szCs w:val="20"/>
          <w:lang w:val="it-IT"/>
        </w:rPr>
        <w:t xml:space="preserve">Fuente: </w:t>
      </w:r>
      <w:r>
        <w:rPr>
          <w:rFonts w:ascii="Arial" w:hAnsi="Arial" w:cs="Arial"/>
          <w:sz w:val="20"/>
          <w:szCs w:val="20"/>
          <w:lang w:val="it-IT"/>
        </w:rPr>
        <w:t>e</w:t>
      </w:r>
      <w:r w:rsidRPr="00F85CDA">
        <w:rPr>
          <w:rFonts w:ascii="Arial" w:hAnsi="Arial" w:cs="Arial"/>
          <w:sz w:val="20"/>
          <w:szCs w:val="20"/>
          <w:lang w:val="it-IT"/>
        </w:rPr>
        <w:t xml:space="preserve">laboración propia con base en Legislatina. Observatorio del Poder Legislativo en América Latina, </w:t>
      </w:r>
      <w:hyperlink r:id="rId8" w:history="1">
        <w:r w:rsidRPr="00F85CDA">
          <w:rPr>
            <w:rStyle w:val="Hipervnculo"/>
            <w:rFonts w:ascii="Arial" w:hAnsi="Arial" w:cs="Arial"/>
            <w:sz w:val="20"/>
            <w:szCs w:val="20"/>
            <w:lang w:val="it-IT"/>
          </w:rPr>
          <w:t>http://americo.usal.es/oir/legislatina/reelección.htm</w:t>
        </w:r>
      </w:hyperlink>
    </w:p>
    <w:p w:rsidR="00B40618" w:rsidRDefault="00B40618" w:rsidP="00B40618">
      <w:pPr>
        <w:pStyle w:val="Cuerpo"/>
        <w:spacing w:before="120" w:after="120" w:line="360" w:lineRule="auto"/>
        <w:jc w:val="both"/>
        <w:rPr>
          <w:rFonts w:ascii="Arial" w:hAnsi="Arial" w:cs="Arial"/>
          <w:lang w:val="it-IT"/>
        </w:rPr>
      </w:pPr>
    </w:p>
    <w:p w:rsidR="00B40618" w:rsidRPr="00B40618" w:rsidRDefault="00B40618" w:rsidP="00B40618">
      <w:pPr>
        <w:spacing w:line="360" w:lineRule="auto"/>
        <w:jc w:val="both"/>
        <w:rPr>
          <w:lang w:val="es-MX"/>
        </w:rPr>
      </w:pPr>
      <w:r w:rsidRPr="00B40618">
        <w:rPr>
          <w:lang w:val="it-IT"/>
        </w:rPr>
        <w:lastRenderedPageBreak/>
        <w:t xml:space="preserve">La carencia de experiencia acumulada por la vía de la reelección en países latinoamericanos ha limitado </w:t>
      </w:r>
      <w:r w:rsidRPr="00B40618">
        <w:rPr>
          <w:lang w:val="es-MX"/>
        </w:rPr>
        <w:t>la profesionalización y especialización legislativa, de ahí que Carey (2006) afirme que restringir la reelección legislativa elimina la posibilidad de hacer una carrera al interior del Congreso, y permite que el futuro profesional de los legisladores esté en manos de los partidos políticos -en la medida que controlan las carreras políticas de sus integrantes- y no del electorado; sus decisiones dependen entonces del cálculo electoral antes que interesarse e informarse sobre las políticas gubernamentales, es decir, la reelección evita que los políticos profesionales se ocupen primordialmente de su carrera político electoral (también llamada externa), antes que de una carrera legislativa (o interna) en la que busquen especializarse en los asuntos legislativos y gubernamentales.</w:t>
      </w:r>
    </w:p>
    <w:p w:rsidR="00B40618" w:rsidRPr="00B40618" w:rsidRDefault="00B40618" w:rsidP="00B40618">
      <w:pPr>
        <w:spacing w:line="360" w:lineRule="auto"/>
        <w:jc w:val="both"/>
        <w:rPr>
          <w:lang w:val="it-IT"/>
        </w:rPr>
      </w:pPr>
      <w:r w:rsidRPr="00B40618">
        <w:rPr>
          <w:lang w:val="es-MX"/>
        </w:rPr>
        <w:t>Podemos decir que la comunidad académica ha debatido y coincidido en que la profesionalización de la función legislativa es producto de la experiencia acumulada de los legisladores, sin embargo, nos preguntamos: ¿es suficiente la reelección legislativa y la experiencia para garantizar la rendición de cuentas? La respuesta a esta pregunta presenta dos vertientes: los que aceptan que la reelección consecutiva “cultiva la capacidad de los legisladores”, enriquece la experiencia de los mismos y, por tanto, favorece la profesionalización al tiempo que fomenta la responsabilidad y la rendición de cuentas (Campos, 2003; Valadés, 2003; Dworak, 2003; Carey, 2006); y los que consideran que la reelección no garantiza la reincidencia de los legisladores en el mismo cargo, por lo que la acumulación de experiencia es escasa y carente de compromisos frente a sus representados (Jones, 2002). Además, la actividad representativa por su propia naturaleza carece de información pues los legisladores dependen de la información generada por los especialistas de la burocracia; el resultado de la agregación de intereses produce –en el mejor de los casos- consensos antes que eficacia y coherencia, por tanto, el efecto inmediato da como resultado políticas disfuncionales, coyunturales y sin capacidad de responder a las demandas sociales (Mezey, 1995).</w:t>
      </w:r>
    </w:p>
    <w:p w:rsidR="00B40618" w:rsidRPr="00B40618" w:rsidRDefault="00B40618" w:rsidP="00B40618">
      <w:pPr>
        <w:pStyle w:val="Cuerpo"/>
        <w:spacing w:before="120" w:after="120" w:line="360" w:lineRule="auto"/>
        <w:jc w:val="both"/>
        <w:rPr>
          <w:rFonts w:hAnsi="Times New Roman" w:cs="Times New Roman"/>
        </w:rPr>
      </w:pPr>
      <w:r w:rsidRPr="00B40618">
        <w:rPr>
          <w:rFonts w:hAnsi="Times New Roman" w:cs="Times New Roman"/>
          <w:lang w:val="it-IT"/>
        </w:rPr>
        <w:t>Pese a que la segunda concepción o la de desapego ciudadano es la que ha primado en la visión latinoamericana de los Congresos, es factible considerar que la rendici</w:t>
      </w:r>
      <w:r w:rsidRPr="00B40618">
        <w:rPr>
          <w:rFonts w:hAnsi="Times New Roman" w:cs="Times New Roman"/>
        </w:rPr>
        <w:t xml:space="preserve">ón de cuentas horizontal y la vertical aplicada a las legislaturas son instrumentos que abonan al incremento de mayores conocimientos de parte de los legisladores, por cuanto a la información y especialización de las tareas legislativas dado que dicho conocimiento </w:t>
      </w:r>
      <w:r w:rsidRPr="00B40618">
        <w:rPr>
          <w:rFonts w:hAnsi="Times New Roman" w:cs="Times New Roman"/>
        </w:rPr>
        <w:lastRenderedPageBreak/>
        <w:t>contribuye a un mejor ejercicio de vigilancia y a una más amplia incidencia sobre el gobierno. Al mismo tiempo ofrece la oportunidad de mantener contacto permanente con sus representados, a fin de que estos exijan una mayor responsabilidad. En otras palabras, la reelección como instrumento de control ciudadano solo es posible si se consolidan tres vertientes de acción: rendición de cuentas vertical y horizontal; calidad y acceso informativo; e incidencia y canales de participación ciudadana.</w:t>
      </w:r>
    </w:p>
    <w:p w:rsidR="00B40618" w:rsidRPr="00B40618" w:rsidRDefault="00B40618" w:rsidP="00B40618">
      <w:pPr>
        <w:pStyle w:val="Cuerpo"/>
        <w:spacing w:before="120" w:after="120" w:line="360" w:lineRule="auto"/>
        <w:jc w:val="both"/>
        <w:rPr>
          <w:rFonts w:hAnsi="Times New Roman" w:cs="Times New Roman"/>
        </w:rPr>
      </w:pPr>
      <w:r w:rsidRPr="00B40618">
        <w:rPr>
          <w:rFonts w:hAnsi="Times New Roman" w:cs="Times New Roman"/>
        </w:rPr>
        <w:t>Por ese motivo la reelección es el arreglo institucional que permite conformar compromisos entre quienes toman las decisiones legislativas y aquellos que esperan la apertura de los órganos de representación en el que no solo se beneficie a los demandantes, sino que se fortalezca y legitime a la propia reelección como un sistema de retroalimentación y comunicación, así como de responsabilidades y compromisos frente a los electores. Cuatro son los elementos que fomentan el compromiso y la respuesta institucional:</w:t>
      </w:r>
    </w:p>
    <w:p w:rsidR="00B40618" w:rsidRPr="00B40618" w:rsidRDefault="00B40618" w:rsidP="00B40618">
      <w:pPr>
        <w:pStyle w:val="Cuerpo"/>
        <w:numPr>
          <w:ilvl w:val="0"/>
          <w:numId w:val="1"/>
        </w:numPr>
        <w:spacing w:before="120" w:after="120" w:line="360" w:lineRule="auto"/>
        <w:jc w:val="both"/>
        <w:rPr>
          <w:rFonts w:hAnsi="Times New Roman" w:cs="Times New Roman"/>
        </w:rPr>
      </w:pPr>
      <w:r w:rsidRPr="00B40618">
        <w:rPr>
          <w:rFonts w:hAnsi="Times New Roman" w:cs="Times New Roman"/>
        </w:rPr>
        <w:t>Apertura informativa sobre la fiscalización en el manejo de los recursos.</w:t>
      </w:r>
    </w:p>
    <w:p w:rsidR="00B40618" w:rsidRPr="00B40618" w:rsidRDefault="00B40618" w:rsidP="00B40618">
      <w:pPr>
        <w:pStyle w:val="Cuerpo"/>
        <w:numPr>
          <w:ilvl w:val="0"/>
          <w:numId w:val="1"/>
        </w:numPr>
        <w:spacing w:before="120" w:after="120" w:line="360" w:lineRule="auto"/>
        <w:jc w:val="both"/>
        <w:rPr>
          <w:rFonts w:hAnsi="Times New Roman" w:cs="Times New Roman"/>
        </w:rPr>
      </w:pPr>
      <w:r w:rsidRPr="00B40618">
        <w:rPr>
          <w:rFonts w:hAnsi="Times New Roman" w:cs="Times New Roman"/>
        </w:rPr>
        <w:t>Publicidad de las actividades legislativas.</w:t>
      </w:r>
    </w:p>
    <w:p w:rsidR="00B40618" w:rsidRPr="00B40618" w:rsidRDefault="00B40618" w:rsidP="00B40618">
      <w:pPr>
        <w:pStyle w:val="Cuerpo"/>
        <w:numPr>
          <w:ilvl w:val="0"/>
          <w:numId w:val="1"/>
        </w:numPr>
        <w:spacing w:before="120" w:after="120" w:line="360" w:lineRule="auto"/>
        <w:jc w:val="both"/>
        <w:rPr>
          <w:rFonts w:hAnsi="Times New Roman" w:cs="Times New Roman"/>
        </w:rPr>
      </w:pPr>
      <w:r w:rsidRPr="00B40618">
        <w:rPr>
          <w:rFonts w:hAnsi="Times New Roman" w:cs="Times New Roman"/>
        </w:rPr>
        <w:t xml:space="preserve">Garantizar la participación ciudadana en las decisiones legislativas. </w:t>
      </w:r>
    </w:p>
    <w:p w:rsidR="00B40618" w:rsidRPr="00B40618" w:rsidRDefault="00B40618" w:rsidP="00B40618">
      <w:pPr>
        <w:pStyle w:val="Cuerpo"/>
        <w:numPr>
          <w:ilvl w:val="0"/>
          <w:numId w:val="1"/>
        </w:numPr>
        <w:spacing w:before="120" w:after="120" w:line="360" w:lineRule="auto"/>
        <w:jc w:val="both"/>
        <w:rPr>
          <w:rFonts w:hAnsi="Times New Roman" w:cs="Times New Roman"/>
        </w:rPr>
      </w:pPr>
      <w:r w:rsidRPr="00B40618">
        <w:rPr>
          <w:rFonts w:hAnsi="Times New Roman" w:cs="Times New Roman"/>
        </w:rPr>
        <w:t>Dar respuesta a las peticiones y demandas a través del acceso a la agenda legislativa.</w:t>
      </w:r>
    </w:p>
    <w:p w:rsidR="00B40618" w:rsidRPr="00B40618" w:rsidRDefault="00B40618" w:rsidP="00B40618">
      <w:pPr>
        <w:pStyle w:val="Cuerpo"/>
        <w:spacing w:before="120" w:after="120" w:line="360" w:lineRule="auto"/>
        <w:jc w:val="both"/>
        <w:rPr>
          <w:rFonts w:hAnsi="Times New Roman" w:cs="Times New Roman"/>
        </w:rPr>
      </w:pPr>
      <w:r w:rsidRPr="00B40618">
        <w:rPr>
          <w:rFonts w:hAnsi="Times New Roman" w:cs="Times New Roman"/>
        </w:rPr>
        <w:t>El vínculo</w:t>
      </w:r>
      <w:r w:rsidRPr="00B40618">
        <w:rPr>
          <w:rFonts w:hAnsi="Times New Roman" w:cs="Times New Roman"/>
          <w:lang w:val="pt-PT"/>
        </w:rPr>
        <w:t xml:space="preserve"> entre representación y compromiso </w:t>
      </w:r>
      <w:r w:rsidRPr="00B40618">
        <w:rPr>
          <w:rFonts w:hAnsi="Times New Roman" w:cs="Times New Roman"/>
        </w:rPr>
        <w:t>añade a la democracia representativa nuevos elementos que, lejos de sustituir a la representación tradicional, la complementan al otorgarle una función</w:t>
      </w:r>
      <w:r w:rsidRPr="00B40618">
        <w:rPr>
          <w:rFonts w:hAnsi="Times New Roman" w:cs="Times New Roman"/>
          <w:lang w:val="nl-NL"/>
        </w:rPr>
        <w:t xml:space="preserve"> de opinión</w:t>
      </w:r>
      <w:r w:rsidRPr="00B40618">
        <w:rPr>
          <w:rFonts w:hAnsi="Times New Roman" w:cs="Times New Roman"/>
        </w:rPr>
        <w:t>, o en su caso, la capacidad de escuchar a los ciudadanos como la consideración de las  opiniones, preferencias, niveles de satisfacción ciudadana, todo ello a través</w:t>
      </w:r>
      <w:r w:rsidRPr="00B40618">
        <w:rPr>
          <w:rFonts w:hAnsi="Times New Roman" w:cs="Times New Roman"/>
          <w:lang w:val="pt-PT"/>
        </w:rPr>
        <w:t xml:space="preserve"> de consultas </w:t>
      </w:r>
      <w:r w:rsidRPr="00B40618">
        <w:rPr>
          <w:rFonts w:hAnsi="Times New Roman" w:cs="Times New Roman"/>
        </w:rPr>
        <w:t>públicas, deliberación de iniciativas, audiencias públicas, oficinas de contacto, consejos consultivos, referéndums, además de los instrumentos electrónicos como canales de acercamiento ciudadano.</w:t>
      </w:r>
    </w:p>
    <w:p w:rsidR="00B40618" w:rsidRPr="00B40618" w:rsidRDefault="00B40618" w:rsidP="00B40618">
      <w:pPr>
        <w:pStyle w:val="Cuerpo"/>
        <w:spacing w:before="120" w:after="120" w:line="360" w:lineRule="auto"/>
        <w:jc w:val="both"/>
        <w:rPr>
          <w:rFonts w:hAnsi="Times New Roman" w:cs="Times New Roman"/>
          <w:i/>
          <w:lang w:val="es-ES"/>
        </w:rPr>
      </w:pPr>
      <w:r w:rsidRPr="00B40618">
        <w:rPr>
          <w:rFonts w:hAnsi="Times New Roman" w:cs="Times New Roman"/>
          <w:i/>
          <w:lang w:val="es-ES"/>
        </w:rPr>
        <w:t>La rendición de cuentas social</w:t>
      </w:r>
    </w:p>
    <w:p w:rsidR="00B40618" w:rsidRPr="00B40618" w:rsidRDefault="00B40618" w:rsidP="00B40618">
      <w:pPr>
        <w:pStyle w:val="Cuerpo"/>
        <w:spacing w:before="120" w:after="120" w:line="360" w:lineRule="auto"/>
        <w:jc w:val="both"/>
        <w:rPr>
          <w:rFonts w:hAnsi="Times New Roman" w:cs="Times New Roman"/>
          <w:lang w:val="es-ES"/>
        </w:rPr>
      </w:pPr>
      <w:r w:rsidRPr="00B40618">
        <w:rPr>
          <w:rFonts w:hAnsi="Times New Roman" w:cs="Times New Roman"/>
        </w:rPr>
        <w:t>Przeworski (1998, p. 9) es escéptico al señalar que las “elecciones no obligan a los políticos a implementar las políticas pretendidas por los votantes”.  Esto se explica</w:t>
      </w:r>
      <w:r w:rsidRPr="00B40618">
        <w:rPr>
          <w:rFonts w:hAnsi="Times New Roman" w:cs="Times New Roman"/>
          <w:lang w:val="es-ES"/>
        </w:rPr>
        <w:t xml:space="preserve"> por</w:t>
      </w:r>
      <w:r w:rsidRPr="00B40618">
        <w:rPr>
          <w:rFonts w:hAnsi="Times New Roman" w:cs="Times New Roman"/>
        </w:rPr>
        <w:t xml:space="preserve"> la limitada o insuficiente información con la que cuentan los votantes como para evaluar a sus legisladores electos; además de que para el autor, la amenaza de no ser reelectos no es </w:t>
      </w:r>
      <w:r w:rsidRPr="00B40618">
        <w:rPr>
          <w:rFonts w:hAnsi="Times New Roman" w:cs="Times New Roman"/>
        </w:rPr>
        <w:lastRenderedPageBreak/>
        <w:t>suficiente para inducir a los representantes a actuar en beneficio del interés público. P</w:t>
      </w:r>
      <w:r w:rsidRPr="00B40618">
        <w:rPr>
          <w:rFonts w:hAnsi="Times New Roman" w:cs="Times New Roman"/>
          <w:lang w:val="es-ES"/>
        </w:rPr>
        <w:t>or</w:t>
      </w:r>
      <w:r w:rsidRPr="00B40618">
        <w:rPr>
          <w:rFonts w:hAnsi="Times New Roman" w:cs="Times New Roman"/>
        </w:rPr>
        <w:t xml:space="preserve"> ello se requieren otros instrumentos adicionales al voto, para que el ciudadano tenga la capacidad de vigilar y sancionar efectivamente la conducta del representante.</w:t>
      </w:r>
    </w:p>
    <w:p w:rsidR="00B40618" w:rsidRPr="00B40618" w:rsidRDefault="00B40618" w:rsidP="00B40618">
      <w:pPr>
        <w:pStyle w:val="Sinespaciado"/>
        <w:spacing w:line="360" w:lineRule="auto"/>
        <w:jc w:val="both"/>
        <w:rPr>
          <w:rFonts w:ascii="Times New Roman" w:eastAsia="Times New Roman" w:hAnsi="Times New Roman" w:cs="Times New Roman"/>
          <w:sz w:val="24"/>
          <w:szCs w:val="24"/>
          <w:lang w:val="es-ES"/>
        </w:rPr>
      </w:pPr>
      <w:r w:rsidRPr="00B40618">
        <w:rPr>
          <w:rFonts w:ascii="Times New Roman" w:hAnsi="Times New Roman" w:cs="Times New Roman"/>
          <w:sz w:val="24"/>
          <w:szCs w:val="24"/>
          <w:lang w:val="es-ES"/>
        </w:rPr>
        <w:t>Para</w:t>
      </w:r>
      <w:r w:rsidRPr="00B40618">
        <w:rPr>
          <w:rFonts w:ascii="Times New Roman" w:hAnsi="Times New Roman" w:cs="Times New Roman"/>
          <w:sz w:val="24"/>
          <w:szCs w:val="24"/>
        </w:rPr>
        <w:t xml:space="preserve"> Smulovitz </w:t>
      </w:r>
      <w:r w:rsidRPr="00B40618">
        <w:rPr>
          <w:rFonts w:ascii="Times New Roman" w:hAnsi="Times New Roman" w:cs="Times New Roman"/>
          <w:sz w:val="24"/>
          <w:szCs w:val="24"/>
          <w:lang w:val="es-ES"/>
        </w:rPr>
        <w:t>(2001)</w:t>
      </w:r>
      <w:r w:rsidRPr="00B40618">
        <w:rPr>
          <w:rFonts w:ascii="Times New Roman" w:hAnsi="Times New Roman" w:cs="Times New Roman"/>
          <w:sz w:val="24"/>
          <w:szCs w:val="24"/>
        </w:rPr>
        <w:t xml:space="preserve"> la opción social de la rendición de cuentas es una ampliación de la vertical porque:</w:t>
      </w:r>
    </w:p>
    <w:p w:rsidR="00B40618" w:rsidRPr="00B40618" w:rsidRDefault="00B40618" w:rsidP="00B40618">
      <w:pPr>
        <w:pStyle w:val="Sinespaciado"/>
        <w:spacing w:line="360" w:lineRule="auto"/>
        <w:jc w:val="both"/>
        <w:rPr>
          <w:rFonts w:ascii="Times New Roman" w:eastAsia="Times New Roman" w:hAnsi="Times New Roman" w:cs="Times New Roman"/>
          <w:sz w:val="24"/>
          <w:szCs w:val="24"/>
        </w:rPr>
      </w:pPr>
    </w:p>
    <w:p w:rsidR="00B40618" w:rsidRPr="00B40618" w:rsidRDefault="00B40618" w:rsidP="00B40618">
      <w:pPr>
        <w:pStyle w:val="Cuerpo"/>
        <w:spacing w:after="200" w:line="360" w:lineRule="auto"/>
        <w:ind w:left="708"/>
        <w:jc w:val="both"/>
        <w:rPr>
          <w:rFonts w:hAnsi="Times New Roman" w:cs="Times New Roman"/>
        </w:rPr>
      </w:pPr>
      <w:r w:rsidRPr="00B40618">
        <w:rPr>
          <w:rFonts w:hAnsi="Times New Roman" w:cs="Times New Roman"/>
        </w:rPr>
        <w:t xml:space="preserve">La </w:t>
      </w:r>
      <w:r w:rsidRPr="00B40618">
        <w:rPr>
          <w:rFonts w:hAnsi="Times New Roman" w:cs="Times New Roman"/>
          <w:i/>
        </w:rPr>
        <w:t>accountability</w:t>
      </w:r>
      <w:r w:rsidRPr="00B40618">
        <w:rPr>
          <w:rFonts w:hAnsi="Times New Roman" w:cs="Times New Roman"/>
        </w:rPr>
        <w:t xml:space="preserve"> social es un mecanismo de control vertical, no electoral, de las autoridades políticas basado en las acciones de un amplio espectro de asociaciones y movimientos ciudadanos así como en acciones mediáticas. Las acciones de estos actores tienen por objeto monitorear el comportamiento de los funcionarios públicos, exponer y denunciar actos ilegales de los mismos, y activar la operación de agencias horizontales de control. La </w:t>
      </w:r>
      <w:r w:rsidRPr="00B40618">
        <w:rPr>
          <w:rFonts w:hAnsi="Times New Roman" w:cs="Times New Roman"/>
          <w:i/>
        </w:rPr>
        <w:t>accountability</w:t>
      </w:r>
      <w:r w:rsidRPr="00B40618">
        <w:rPr>
          <w:rFonts w:hAnsi="Times New Roman" w:cs="Times New Roman"/>
        </w:rPr>
        <w:t xml:space="preserve"> social puede canalizarse tanto por vías institucionales y no institucionales (Smulovitz, 2001, p. 3).</w:t>
      </w:r>
    </w:p>
    <w:p w:rsidR="005E3AC9" w:rsidRDefault="005E3AC9" w:rsidP="00B40618">
      <w:pPr>
        <w:pStyle w:val="Cuerpo"/>
        <w:spacing w:before="120" w:after="120" w:line="360" w:lineRule="auto"/>
        <w:jc w:val="both"/>
        <w:rPr>
          <w:rFonts w:hAnsi="Times New Roman" w:cs="Times New Roman"/>
          <w:lang w:val="es-ES"/>
        </w:rPr>
      </w:pPr>
    </w:p>
    <w:p w:rsidR="00B40618" w:rsidRPr="00B40618" w:rsidRDefault="00B40618" w:rsidP="00B40618">
      <w:pPr>
        <w:pStyle w:val="Cuerpo"/>
        <w:spacing w:before="120" w:after="120" w:line="360" w:lineRule="auto"/>
        <w:jc w:val="both"/>
        <w:rPr>
          <w:rFonts w:hAnsi="Times New Roman" w:cs="Times New Roman"/>
        </w:rPr>
      </w:pPr>
      <w:r w:rsidRPr="00B40618">
        <w:rPr>
          <w:rFonts w:hAnsi="Times New Roman" w:cs="Times New Roman"/>
          <w:lang w:val="es-ES"/>
        </w:rPr>
        <w:t xml:space="preserve">En el mismo sentido, </w:t>
      </w:r>
      <w:r w:rsidRPr="00B40618">
        <w:rPr>
          <w:rFonts w:hAnsi="Times New Roman" w:cs="Times New Roman"/>
        </w:rPr>
        <w:t xml:space="preserve">Nuria Cunill (2007) afirma que mediante el control social es posible incidir de forma colectiva y efectiva en la rendición de cuentas, dado que los actores de la sociedad civil organizada, ONG´s  o los medios de comunicación, hacen efectivo este poder por medio del acceso a la información, a la libertad de expresión, la deliberación pública, la denuncia y los derechos de participación y de petición. Es decir, la rendición de cuentas social se apoya por un lado en los </w:t>
      </w:r>
      <w:r w:rsidRPr="00B40618">
        <w:rPr>
          <w:rFonts w:hAnsi="Times New Roman" w:cs="Times New Roman"/>
          <w:i/>
        </w:rPr>
        <w:t>instrumentos de participación ciudadana</w:t>
      </w:r>
      <w:r w:rsidRPr="00B40618">
        <w:rPr>
          <w:rFonts w:hAnsi="Times New Roman" w:cs="Times New Roman"/>
        </w:rPr>
        <w:t xml:space="preserve"> (acceso a la información, consultas públicas, deliberación pública, iniciativa ciudadana, contralorías ciudadanas, revocación del mandato), y por el otro, en </w:t>
      </w:r>
      <w:r w:rsidRPr="00B40618">
        <w:rPr>
          <w:rFonts w:hAnsi="Times New Roman" w:cs="Times New Roman"/>
          <w:i/>
        </w:rPr>
        <w:t>la intensidad de los reclamos así como en el impacto de sus acciones para poder incidir en la opinión pública</w:t>
      </w:r>
      <w:r w:rsidRPr="00B40618">
        <w:rPr>
          <w:rFonts w:hAnsi="Times New Roman" w:cs="Times New Roman"/>
        </w:rPr>
        <w:t xml:space="preserve"> (poder de movimiento, poder comunicativo, cabildeo y/o presión). </w:t>
      </w:r>
    </w:p>
    <w:p w:rsidR="00B40618" w:rsidRPr="00B40618" w:rsidRDefault="00B40618" w:rsidP="00B40618">
      <w:pPr>
        <w:pStyle w:val="Cuerpo"/>
        <w:spacing w:before="120" w:after="120" w:line="360" w:lineRule="auto"/>
        <w:jc w:val="both"/>
        <w:rPr>
          <w:rFonts w:hAnsi="Times New Roman" w:cs="Times New Roman"/>
        </w:rPr>
      </w:pPr>
      <w:r w:rsidRPr="00B40618">
        <w:rPr>
          <w:rFonts w:hAnsi="Times New Roman" w:cs="Times New Roman"/>
        </w:rPr>
        <w:t xml:space="preserve">Es posible afirmar que la reformulación de la representación dentro de mecanismos de apoyo ciudadano sea la clave de la influencia de estos en la agenda gubernamental y legislativa, el complemento educativo y el canal de información del representado para el ejercicio de la responsabilidad política. En otras palabras, la representación vinculada a la rendición de cuentas permite que los ciudadanos ejerzan influencia sobre la decisiones públicas, la gestión, en la opinión pública, controlar y fiscalizar la política gubernamental, </w:t>
      </w:r>
      <w:r w:rsidRPr="00B40618">
        <w:rPr>
          <w:rFonts w:hAnsi="Times New Roman" w:cs="Times New Roman"/>
        </w:rPr>
        <w:lastRenderedPageBreak/>
        <w:t xml:space="preserve">establecer (sobre todo en los partidos de oposición) objetivos que justifiquen el consenso para alcanzar la gobernabilidad y formar opinión sobre la gestión del gobierno (Sánchez de Dios, 1995). </w:t>
      </w:r>
    </w:p>
    <w:p w:rsidR="00B40618" w:rsidRPr="00B40618" w:rsidRDefault="00B40618" w:rsidP="00B40618">
      <w:pPr>
        <w:pStyle w:val="Cuerpo"/>
        <w:spacing w:before="120" w:after="120" w:line="360" w:lineRule="auto"/>
        <w:jc w:val="both"/>
        <w:rPr>
          <w:rFonts w:hAnsi="Times New Roman" w:cs="Times New Roman"/>
          <w:lang w:val="es-ES"/>
        </w:rPr>
      </w:pPr>
      <w:r w:rsidRPr="00B40618">
        <w:rPr>
          <w:rFonts w:hAnsi="Times New Roman" w:cs="Times New Roman"/>
        </w:rPr>
        <w:t>Vista así, la representación en relación con la rendición de cuentas vertical</w:t>
      </w:r>
      <w:r w:rsidRPr="00B40618">
        <w:rPr>
          <w:rFonts w:hAnsi="Times New Roman" w:cs="Times New Roman"/>
          <w:lang w:val="es-ES"/>
        </w:rPr>
        <w:t xml:space="preserve"> en sus vertientes electoral</w:t>
      </w:r>
      <w:r w:rsidRPr="00B40618">
        <w:rPr>
          <w:rFonts w:hAnsi="Times New Roman" w:cs="Times New Roman"/>
        </w:rPr>
        <w:t xml:space="preserve"> y social tiene</w:t>
      </w:r>
      <w:r w:rsidRPr="00B40618">
        <w:rPr>
          <w:rFonts w:hAnsi="Times New Roman" w:cs="Times New Roman"/>
          <w:lang w:val="es-ES"/>
        </w:rPr>
        <w:t>n</w:t>
      </w:r>
      <w:r w:rsidRPr="00B40618">
        <w:rPr>
          <w:rFonts w:hAnsi="Times New Roman" w:cs="Times New Roman"/>
        </w:rPr>
        <w:t xml:space="preserve"> un sentido doble, por un lado coexiste con </w:t>
      </w:r>
      <w:r w:rsidRPr="00B40618">
        <w:rPr>
          <w:rFonts w:hAnsi="Times New Roman" w:cs="Times New Roman"/>
          <w:lang w:val="pt-PT"/>
        </w:rPr>
        <w:t>marcos normativos</w:t>
      </w:r>
      <w:r w:rsidRPr="00B40618">
        <w:rPr>
          <w:rFonts w:hAnsi="Times New Roman" w:cs="Times New Roman"/>
        </w:rPr>
        <w:t xml:space="preserve"> que facilitan la intervención activa y el control legal de los ciudadanos de manera individual o colectiva en los asuntos públicos; por otro lado, el involucramiento de los ciudadanos en las decisiones supone un esfuerzo de organización y argumentación</w:t>
      </w:r>
      <w:r w:rsidRPr="00B40618">
        <w:rPr>
          <w:rFonts w:hAnsi="Times New Roman" w:cs="Times New Roman"/>
          <w:lang w:val="es-ES"/>
        </w:rPr>
        <w:t xml:space="preserve"> (Nino, 2003 y Alexy, 2006)</w:t>
      </w:r>
      <w:r w:rsidRPr="00B40618">
        <w:rPr>
          <w:rFonts w:hAnsi="Times New Roman" w:cs="Times New Roman"/>
        </w:rPr>
        <w:t xml:space="preserve"> de la acción colectiva que interactúa entre los representantes y la sociedad organizada.</w:t>
      </w:r>
    </w:p>
    <w:p w:rsidR="00B40618" w:rsidRPr="00B40618" w:rsidRDefault="00B40618" w:rsidP="00B40618">
      <w:pPr>
        <w:pStyle w:val="Cuerpo"/>
        <w:spacing w:before="120" w:after="120" w:line="360" w:lineRule="auto"/>
        <w:jc w:val="both"/>
        <w:rPr>
          <w:rFonts w:hAnsi="Times New Roman" w:cs="Times New Roman"/>
        </w:rPr>
      </w:pPr>
      <w:r w:rsidRPr="00B40618">
        <w:rPr>
          <w:rFonts w:hAnsi="Times New Roman" w:cs="Times New Roman"/>
        </w:rPr>
        <w:t xml:space="preserve">Los </w:t>
      </w:r>
      <w:r w:rsidRPr="00B40618">
        <w:rPr>
          <w:rFonts w:hAnsi="Times New Roman" w:cs="Times New Roman"/>
          <w:lang w:val="pt-PT"/>
        </w:rPr>
        <w:t>marcos normativos</w:t>
      </w:r>
      <w:r w:rsidRPr="00B40618">
        <w:rPr>
          <w:rFonts w:hAnsi="Times New Roman" w:cs="Times New Roman"/>
        </w:rPr>
        <w:t xml:space="preserve"> se componen de instrumentos legalmente establecidos en códigos o leyes que hacen referencia a los espacios en los que pueden participar los ciudadanos de manera colectiva o individual en los diversos campos sociales, económicos, culturales, políticos, ambientales, así </w:t>
      </w:r>
      <w:r w:rsidRPr="00B40618">
        <w:rPr>
          <w:rFonts w:hAnsi="Times New Roman" w:cs="Times New Roman"/>
          <w:lang w:val="pt-PT"/>
        </w:rPr>
        <w:t>como diversas actividades p</w:t>
      </w:r>
      <w:r w:rsidRPr="00B40618">
        <w:rPr>
          <w:rFonts w:hAnsi="Times New Roman" w:cs="Times New Roman"/>
        </w:rPr>
        <w:t xml:space="preserve">úblicas locales y regionales. </w:t>
      </w:r>
    </w:p>
    <w:p w:rsidR="00B40618" w:rsidRDefault="00B40618" w:rsidP="00B40618">
      <w:pPr>
        <w:pStyle w:val="Cuerpo"/>
        <w:spacing w:before="120" w:after="120" w:line="360" w:lineRule="auto"/>
        <w:jc w:val="both"/>
        <w:rPr>
          <w:rFonts w:hAnsi="Times New Roman" w:cs="Times New Roman"/>
          <w:lang w:val="es-ES"/>
        </w:rPr>
      </w:pPr>
      <w:r w:rsidRPr="00B40618">
        <w:rPr>
          <w:rFonts w:hAnsi="Times New Roman" w:cs="Times New Roman"/>
        </w:rPr>
        <w:t>Los marcos normativos de participación ciudadana constituyen distintos niveles de acceso y vinculación</w:t>
      </w:r>
      <w:r w:rsidRPr="00B40618">
        <w:rPr>
          <w:rFonts w:hAnsi="Times New Roman" w:cs="Times New Roman"/>
          <w:lang w:val="es-ES"/>
        </w:rPr>
        <w:t xml:space="preserve"> </w:t>
      </w:r>
      <w:r w:rsidRPr="00B40618">
        <w:rPr>
          <w:rFonts w:hAnsi="Times New Roman" w:cs="Times New Roman"/>
        </w:rPr>
        <w:t xml:space="preserve">con las decisiones. </w:t>
      </w:r>
      <w:r w:rsidRPr="00B40618">
        <w:rPr>
          <w:rFonts w:hAnsi="Times New Roman" w:cs="Times New Roman"/>
          <w:lang w:val="es-ES"/>
        </w:rPr>
        <w:t xml:space="preserve">Los niveles de participación se amplían o reducen dependiendo del vínculo o el acceso al proceso de decisión legislativa (ver cuadro 5). </w:t>
      </w:r>
      <w:r w:rsidRPr="00B40618">
        <w:rPr>
          <w:rFonts w:hAnsi="Times New Roman" w:cs="Times New Roman"/>
        </w:rPr>
        <w:t>Algunos mecanismos tienen una función consultiva en la medida en la que los ciudadanos pueden expresar opiniones respecto a las preferencias o niveles de satisfacción</w:t>
      </w:r>
      <w:r w:rsidRPr="00B40618">
        <w:rPr>
          <w:rFonts w:hAnsi="Times New Roman" w:cs="Times New Roman"/>
          <w:lang w:val="pt-PT"/>
        </w:rPr>
        <w:t xml:space="preserve"> sobre programas o pol</w:t>
      </w:r>
      <w:r w:rsidRPr="00B40618">
        <w:rPr>
          <w:rFonts w:hAnsi="Times New Roman" w:cs="Times New Roman"/>
        </w:rPr>
        <w:t>íticas ofrecidos por el gobierno a través de</w:t>
      </w:r>
      <w:r w:rsidRPr="00B40618">
        <w:rPr>
          <w:rFonts w:hAnsi="Times New Roman" w:cs="Times New Roman"/>
          <w:lang w:val="es-ES"/>
        </w:rPr>
        <w:t xml:space="preserve"> </w:t>
      </w:r>
      <w:r w:rsidRPr="00B40618">
        <w:rPr>
          <w:rFonts w:hAnsi="Times New Roman" w:cs="Times New Roman"/>
          <w:lang w:val="pt-PT"/>
        </w:rPr>
        <w:t xml:space="preserve">consultas </w:t>
      </w:r>
      <w:r w:rsidRPr="00B40618">
        <w:rPr>
          <w:rFonts w:hAnsi="Times New Roman" w:cs="Times New Roman"/>
        </w:rPr>
        <w:t xml:space="preserve">públicas, </w:t>
      </w:r>
      <w:r w:rsidRPr="00B40618">
        <w:rPr>
          <w:rFonts w:hAnsi="Times New Roman" w:cs="Times New Roman"/>
          <w:lang w:val="pt-PT"/>
        </w:rPr>
        <w:t xml:space="preserve">referéndums, plebiscitos </w:t>
      </w:r>
      <w:r w:rsidRPr="00B40618">
        <w:rPr>
          <w:rFonts w:hAnsi="Times New Roman" w:cs="Times New Roman"/>
        </w:rPr>
        <w:t>más o menos influyentes en tanto las opiniones sean vinculatorias con las decisiones gubernamentales. Otros tienen una función informativa (acceso a la información). Las consultas y el acceso a la información</w:t>
      </w:r>
      <w:r w:rsidRPr="00B40618">
        <w:rPr>
          <w:rFonts w:hAnsi="Times New Roman" w:cs="Times New Roman"/>
          <w:lang w:val="fr-FR"/>
        </w:rPr>
        <w:t xml:space="preserve"> son mecanismos que  part</w:t>
      </w:r>
      <w:r w:rsidRPr="00B40618">
        <w:rPr>
          <w:rFonts w:hAnsi="Times New Roman" w:cs="Times New Roman"/>
        </w:rPr>
        <w:t xml:space="preserve">icipan de las políticas institucionales en la medida en la que identifican problemas e influyen en la agenda legislativa; </w:t>
      </w:r>
      <w:r w:rsidRPr="00B40618">
        <w:rPr>
          <w:rFonts w:hAnsi="Times New Roman" w:cs="Times New Roman"/>
          <w:lang w:val="es-ES"/>
        </w:rPr>
        <w:t>otro grupo lo constituyen</w:t>
      </w:r>
      <w:r w:rsidRPr="00B40618">
        <w:rPr>
          <w:rFonts w:hAnsi="Times New Roman" w:cs="Times New Roman"/>
        </w:rPr>
        <w:t xml:space="preserve"> los mecanismos que cumplen con funciones de gestión e información</w:t>
      </w:r>
      <w:r w:rsidRPr="00B40618">
        <w:rPr>
          <w:rFonts w:hAnsi="Times New Roman" w:cs="Times New Roman"/>
          <w:lang w:val="es-ES"/>
        </w:rPr>
        <w:t xml:space="preserve"> compartida</w:t>
      </w:r>
      <w:r w:rsidRPr="00B40618">
        <w:rPr>
          <w:rFonts w:hAnsi="Times New Roman" w:cs="Times New Roman"/>
        </w:rPr>
        <w:t xml:space="preserve">, donde los ciudadanos tienen la posibilidad de gestionar directamente un bien o servicio, </w:t>
      </w:r>
      <w:r w:rsidRPr="00B40618">
        <w:rPr>
          <w:rFonts w:hAnsi="Times New Roman" w:cs="Times New Roman"/>
          <w:lang w:val="es-ES"/>
        </w:rPr>
        <w:t xml:space="preserve">o bien son considerados para </w:t>
      </w:r>
      <w:r w:rsidRPr="00B40618">
        <w:rPr>
          <w:rFonts w:hAnsi="Times New Roman" w:cs="Times New Roman"/>
        </w:rPr>
        <w:t xml:space="preserve">compartir información </w:t>
      </w:r>
      <w:r w:rsidRPr="00B40618">
        <w:rPr>
          <w:rFonts w:hAnsi="Times New Roman" w:cs="Times New Roman"/>
          <w:lang w:val="es-ES"/>
        </w:rPr>
        <w:t>mediante el acceso directo a comités legislativos, debates con</w:t>
      </w:r>
      <w:r w:rsidRPr="00012A70">
        <w:rPr>
          <w:rFonts w:ascii="Arial" w:hAnsi="Arial" w:cs="Arial"/>
          <w:lang w:val="es-ES"/>
        </w:rPr>
        <w:t xml:space="preserve"> </w:t>
      </w:r>
      <w:r w:rsidRPr="00B40618">
        <w:rPr>
          <w:rFonts w:hAnsi="Times New Roman" w:cs="Times New Roman"/>
          <w:lang w:val="es-ES"/>
        </w:rPr>
        <w:t>especialistas, organización de eventos académicos, promoción de reformas, entre los principales.</w:t>
      </w:r>
    </w:p>
    <w:p w:rsidR="00B40618" w:rsidRDefault="00B40618" w:rsidP="00B40618">
      <w:pPr>
        <w:pStyle w:val="Cuerpo"/>
        <w:spacing w:before="120" w:after="120" w:line="360" w:lineRule="auto"/>
        <w:jc w:val="both"/>
        <w:rPr>
          <w:rFonts w:hAnsi="Times New Roman" w:cs="Times New Roman"/>
          <w:lang w:val="es-ES"/>
        </w:rPr>
      </w:pPr>
    </w:p>
    <w:p w:rsidR="00B40618" w:rsidRDefault="00B40618" w:rsidP="00B40618">
      <w:pPr>
        <w:pStyle w:val="Cuerpo"/>
        <w:spacing w:before="120" w:after="120" w:line="360" w:lineRule="auto"/>
        <w:jc w:val="both"/>
        <w:rPr>
          <w:rFonts w:hAnsi="Times New Roman" w:cs="Times New Roman"/>
          <w:lang w:val="es-ES"/>
        </w:rPr>
      </w:pPr>
    </w:p>
    <w:p w:rsidR="00B40618" w:rsidRDefault="00B40618" w:rsidP="00B40618">
      <w:pPr>
        <w:pStyle w:val="Cuerpo"/>
        <w:spacing w:before="120" w:after="120" w:line="360" w:lineRule="auto"/>
        <w:jc w:val="both"/>
        <w:rPr>
          <w:rFonts w:hAnsi="Times New Roman" w:cs="Times New Roman"/>
          <w:lang w:val="es-ES"/>
        </w:rPr>
      </w:pPr>
    </w:p>
    <w:p w:rsidR="00B40618" w:rsidRDefault="00B40618" w:rsidP="00B40618">
      <w:pPr>
        <w:pStyle w:val="Cuerpo"/>
        <w:spacing w:before="120" w:after="120" w:line="360" w:lineRule="auto"/>
        <w:jc w:val="both"/>
        <w:rPr>
          <w:rFonts w:hAnsi="Times New Roman" w:cs="Times New Roman"/>
          <w:lang w:val="es-ES"/>
        </w:rPr>
      </w:pPr>
    </w:p>
    <w:p w:rsidR="00B40618" w:rsidRDefault="00B40618" w:rsidP="00B40618">
      <w:pPr>
        <w:pStyle w:val="Cuerpo"/>
        <w:spacing w:before="120" w:after="120" w:line="360" w:lineRule="auto"/>
        <w:jc w:val="both"/>
        <w:rPr>
          <w:rFonts w:ascii="Arial" w:hAnsi="Arial" w:cs="Arial"/>
          <w:lang w:val="es-ES"/>
        </w:rPr>
      </w:pPr>
    </w:p>
    <w:p w:rsidR="00B40618" w:rsidRPr="00F85CDA" w:rsidRDefault="00B40618" w:rsidP="00B40618">
      <w:pPr>
        <w:pStyle w:val="Cuerpo"/>
        <w:spacing w:before="120" w:after="120" w:line="360" w:lineRule="auto"/>
        <w:jc w:val="center"/>
        <w:rPr>
          <w:rFonts w:ascii="Arial" w:hAnsi="Arial" w:cs="Arial"/>
          <w:sz w:val="20"/>
          <w:szCs w:val="20"/>
        </w:rPr>
      </w:pPr>
      <w:r w:rsidRPr="00F85CDA">
        <w:rPr>
          <w:rFonts w:ascii="Arial" w:hAnsi="Arial" w:cs="Arial"/>
          <w:sz w:val="20"/>
          <w:szCs w:val="20"/>
        </w:rPr>
        <w:t>Cuadro 5. Marcos normativos y niveles de participación</w:t>
      </w:r>
    </w:p>
    <w:p w:rsidR="00B40618" w:rsidRPr="00F85CDA" w:rsidRDefault="00B40618" w:rsidP="00B40618">
      <w:pPr>
        <w:pStyle w:val="Cuerpo"/>
        <w:spacing w:before="120" w:after="120" w:line="360" w:lineRule="auto"/>
        <w:rPr>
          <w:rFonts w:ascii="Arial" w:hAnsi="Arial" w:cs="Arial"/>
          <w:sz w:val="20"/>
          <w:szCs w:val="20"/>
          <w:lang w:val="es-ES"/>
        </w:rPr>
      </w:pPr>
      <w:r w:rsidRPr="00F85CDA">
        <w:rPr>
          <w:rFonts w:ascii="Arial" w:hAnsi="Arial" w:cs="Arial"/>
          <w:noProof/>
          <w:sz w:val="20"/>
          <w:szCs w:val="20"/>
          <w:lang w:val="es-MX" w:eastAsia="es-MX"/>
        </w:rPr>
        <w:t xml:space="preserve"> </w:t>
      </w:r>
      <w:r w:rsidRPr="00F85CDA">
        <w:rPr>
          <w:rFonts w:ascii="Arial" w:hAnsi="Arial" w:cs="Arial"/>
          <w:noProof/>
          <w:sz w:val="20"/>
          <w:szCs w:val="20"/>
          <w:lang w:val="es-MX" w:eastAsia="es-MX"/>
        </w:rPr>
        <mc:AlternateContent>
          <mc:Choice Requires="wps">
            <w:drawing>
              <wp:anchor distT="0" distB="0" distL="114300" distR="114300" simplePos="0" relativeHeight="251661312" behindDoc="0" locked="0" layoutInCell="1" allowOverlap="1" wp14:anchorId="55C1E9CE" wp14:editId="0B336732">
                <wp:simplePos x="0" y="0"/>
                <wp:positionH relativeFrom="column">
                  <wp:posOffset>114300</wp:posOffset>
                </wp:positionH>
                <wp:positionV relativeFrom="paragraph">
                  <wp:posOffset>249555</wp:posOffset>
                </wp:positionV>
                <wp:extent cx="0" cy="1257300"/>
                <wp:effectExtent l="50800" t="50800" r="76200" b="12700"/>
                <wp:wrapNone/>
                <wp:docPr id="3" name="Conector recto de flecha 3"/>
                <wp:cNvGraphicFramePr/>
                <a:graphic xmlns:a="http://schemas.openxmlformats.org/drawingml/2006/main">
                  <a:graphicData uri="http://schemas.microsoft.com/office/word/2010/wordprocessingShape">
                    <wps:wsp>
                      <wps:cNvCnPr/>
                      <wps:spPr>
                        <a:xfrm flipV="1">
                          <a:off x="0" y="0"/>
                          <a:ext cx="0" cy="1257300"/>
                        </a:xfrm>
                        <a:prstGeom prst="straightConnector1">
                          <a:avLst/>
                        </a:prstGeom>
                        <a:noFill/>
                        <a:ln w="6350" cap="flat">
                          <a:solidFill>
                            <a:srgbClr val="000000"/>
                          </a:solidFill>
                          <a:prstDash val="solid"/>
                          <a:miter lim="400000"/>
                          <a:tailEnd type="triangle"/>
                        </a:ln>
                        <a:effectLst/>
                      </wps:spPr>
                      <wps:style>
                        <a:lnRef idx="0">
                          <a:scrgbClr r="0" g="0" b="0"/>
                        </a:lnRef>
                        <a:fillRef idx="0">
                          <a:scrgbClr r="0" g="0" b="0"/>
                        </a:fillRef>
                        <a:effectRef idx="0">
                          <a:scrgbClr r="0" g="0" b="0"/>
                        </a:effectRef>
                        <a:fontRef idx="none"/>
                      </wps:style>
                      <wps:bodyPr/>
                    </wps:wsp>
                  </a:graphicData>
                </a:graphic>
              </wp:anchor>
            </w:drawing>
          </mc:Choice>
          <mc:Fallback>
            <w:pict>
              <v:shapetype w14:anchorId="2BD17734" id="_x0000_t32" coordsize="21600,21600" o:spt="32" o:oned="t" path="m,l21600,21600e" filled="f">
                <v:path arrowok="t" fillok="f" o:connecttype="none"/>
                <o:lock v:ext="edit" shapetype="t"/>
              </v:shapetype>
              <v:shape id="Conector recto de flecha 3" o:spid="_x0000_s1026" type="#_x0000_t32" style="position:absolute;margin-left:9pt;margin-top:19.65pt;width:0;height:99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" strokeweight=".5pt">
                <v:stroke endarrow="block" miterlimit="4" joinstyle="miter"/>
              </v:shape>
            </w:pict>
          </mc:Fallback>
        </mc:AlternateContent>
      </w:r>
      <w:r w:rsidRPr="00F85CDA">
        <w:rPr>
          <w:rFonts w:ascii="Arial" w:hAnsi="Arial" w:cs="Arial"/>
          <w:sz w:val="20"/>
          <w:szCs w:val="20"/>
          <w:lang w:val="es-ES"/>
        </w:rPr>
        <w:t>S/V</w:t>
      </w:r>
    </w:p>
    <w:tbl>
      <w:tblPr>
        <w:tblStyle w:val="Tablaconcuadrcula"/>
        <w:tblpPr w:leftFromText="141" w:rightFromText="141" w:vertAnchor="page" w:horzAnchor="margin" w:tblpXSpec="center" w:tblpY="6101"/>
        <w:tblW w:w="0" w:type="auto"/>
        <w:tblLook w:val="04A0" w:firstRow="1" w:lastRow="0" w:firstColumn="1" w:lastColumn="0" w:noHBand="0" w:noVBand="1"/>
      </w:tblPr>
      <w:tblGrid>
        <w:gridCol w:w="3703"/>
        <w:gridCol w:w="3703"/>
      </w:tblGrid>
      <w:tr w:rsidR="00B40618" w:rsidRPr="00F85CDA" w:rsidTr="00CE4D96">
        <w:trPr>
          <w:trHeight w:val="699"/>
        </w:trPr>
        <w:tc>
          <w:tcPr>
            <w:tcW w:w="3703" w:type="dxa"/>
          </w:tcPr>
          <w:p w:rsidR="00B40618" w:rsidRPr="00F85CDA" w:rsidRDefault="00B40618" w:rsidP="00CE4D96">
            <w:pPr>
              <w:spacing w:line="360" w:lineRule="auto"/>
              <w:rPr>
                <w:rFonts w:ascii="Arial" w:hAnsi="Arial" w:cs="Arial"/>
              </w:rPr>
            </w:pPr>
            <w:r w:rsidRPr="00F85CDA">
              <w:rPr>
                <w:rFonts w:ascii="Arial" w:hAnsi="Arial" w:cs="Arial"/>
              </w:rPr>
              <w:t>1. ACCESO A LA INFORMACIÓN</w:t>
            </w:r>
          </w:p>
        </w:tc>
        <w:tc>
          <w:tcPr>
            <w:tcW w:w="3703" w:type="dxa"/>
          </w:tcPr>
          <w:p w:rsidR="00B40618" w:rsidRPr="00F85CDA" w:rsidRDefault="00B40618" w:rsidP="00CE4D96">
            <w:pPr>
              <w:spacing w:line="360" w:lineRule="auto"/>
              <w:rPr>
                <w:rFonts w:ascii="Arial" w:hAnsi="Arial" w:cs="Arial"/>
              </w:rPr>
            </w:pPr>
            <w:r w:rsidRPr="00F85CDA">
              <w:rPr>
                <w:rFonts w:ascii="Arial" w:hAnsi="Arial" w:cs="Arial"/>
              </w:rPr>
              <w:t>3. GESTIÓN Y PETICIONES</w:t>
            </w:r>
          </w:p>
        </w:tc>
      </w:tr>
      <w:tr w:rsidR="00B40618" w:rsidRPr="00F85CDA" w:rsidTr="00CE4D96">
        <w:trPr>
          <w:trHeight w:val="557"/>
        </w:trPr>
        <w:tc>
          <w:tcPr>
            <w:tcW w:w="3703" w:type="dxa"/>
          </w:tcPr>
          <w:p w:rsidR="00B40618" w:rsidRPr="00F85CDA" w:rsidRDefault="00B40618" w:rsidP="00CE4D96">
            <w:pPr>
              <w:spacing w:line="360" w:lineRule="auto"/>
              <w:rPr>
                <w:rFonts w:ascii="Arial" w:hAnsi="Arial" w:cs="Arial"/>
              </w:rPr>
            </w:pPr>
            <w:r w:rsidRPr="00F85CDA">
              <w:rPr>
                <w:rFonts w:ascii="Arial" w:hAnsi="Arial" w:cs="Arial"/>
              </w:rPr>
              <w:t>2. CONSULTIVOS Y DE OPINIÓN</w:t>
            </w:r>
          </w:p>
        </w:tc>
        <w:tc>
          <w:tcPr>
            <w:tcW w:w="3703" w:type="dxa"/>
          </w:tcPr>
          <w:p w:rsidR="00B40618" w:rsidRPr="00F85CDA" w:rsidRDefault="00B40618" w:rsidP="00CE4D96">
            <w:pPr>
              <w:spacing w:line="360" w:lineRule="auto"/>
              <w:rPr>
                <w:rFonts w:ascii="Arial" w:hAnsi="Arial" w:cs="Arial"/>
              </w:rPr>
            </w:pPr>
            <w:r w:rsidRPr="00F85CDA">
              <w:rPr>
                <w:rFonts w:ascii="Arial" w:hAnsi="Arial" w:cs="Arial"/>
              </w:rPr>
              <w:t>4. ALTA DELIBERACIÓN</w:t>
            </w:r>
          </w:p>
        </w:tc>
      </w:tr>
    </w:tbl>
    <w:p w:rsidR="00B40618" w:rsidRPr="00F85CDA" w:rsidRDefault="00B40618" w:rsidP="00B40618">
      <w:pPr>
        <w:pStyle w:val="Cuerpo"/>
        <w:spacing w:before="120" w:after="120" w:line="360" w:lineRule="auto"/>
        <w:rPr>
          <w:rFonts w:ascii="Arial" w:hAnsi="Arial" w:cs="Arial"/>
          <w:sz w:val="20"/>
          <w:szCs w:val="20"/>
          <w:lang w:val="es-ES"/>
        </w:rPr>
      </w:pPr>
      <w:r w:rsidRPr="00F85CDA">
        <w:rPr>
          <w:rFonts w:ascii="Arial" w:hAnsi="Arial" w:cs="Arial"/>
          <w:sz w:val="20"/>
          <w:szCs w:val="20"/>
          <w:lang w:val="es-ES"/>
        </w:rPr>
        <w:t xml:space="preserve">          </w:t>
      </w:r>
    </w:p>
    <w:p w:rsidR="00B40618" w:rsidRPr="00F85CDA" w:rsidRDefault="00B40618" w:rsidP="00B40618">
      <w:pPr>
        <w:pStyle w:val="Cuerpo"/>
        <w:spacing w:before="120" w:after="120" w:line="360" w:lineRule="auto"/>
        <w:rPr>
          <w:rFonts w:ascii="Arial" w:hAnsi="Arial" w:cs="Arial"/>
          <w:sz w:val="20"/>
          <w:szCs w:val="20"/>
          <w:lang w:val="es-ES"/>
        </w:rPr>
      </w:pPr>
      <w:r w:rsidRPr="00F85CDA">
        <w:rPr>
          <w:rFonts w:ascii="Arial" w:hAnsi="Arial" w:cs="Arial"/>
          <w:sz w:val="20"/>
          <w:szCs w:val="20"/>
          <w:lang w:val="es-ES"/>
        </w:rPr>
        <w:t xml:space="preserve">        </w:t>
      </w:r>
    </w:p>
    <w:p w:rsidR="00B40618" w:rsidRPr="00F85CDA" w:rsidRDefault="00B40618" w:rsidP="00B40618">
      <w:pPr>
        <w:pStyle w:val="Cuerpo"/>
        <w:spacing w:before="120" w:after="120" w:line="360" w:lineRule="auto"/>
        <w:rPr>
          <w:rFonts w:ascii="Arial" w:hAnsi="Arial" w:cs="Arial"/>
          <w:sz w:val="20"/>
          <w:szCs w:val="20"/>
          <w:lang w:val="es-ES"/>
        </w:rPr>
      </w:pPr>
    </w:p>
    <w:p w:rsidR="00B40618" w:rsidRPr="00F85CDA" w:rsidRDefault="00B40618" w:rsidP="00B40618">
      <w:pPr>
        <w:pStyle w:val="Cuerpo"/>
        <w:spacing w:before="120" w:after="120" w:line="360" w:lineRule="auto"/>
        <w:rPr>
          <w:rFonts w:ascii="Arial" w:hAnsi="Arial" w:cs="Arial"/>
          <w:sz w:val="20"/>
          <w:szCs w:val="20"/>
          <w:lang w:val="es-ES"/>
        </w:rPr>
      </w:pPr>
      <w:r w:rsidRPr="00F85CDA">
        <w:rPr>
          <w:rFonts w:ascii="Arial" w:hAnsi="Arial" w:cs="Arial"/>
          <w:sz w:val="20"/>
          <w:szCs w:val="20"/>
          <w:lang w:val="es-ES"/>
        </w:rPr>
        <w:t xml:space="preserve">         </w:t>
      </w:r>
    </w:p>
    <w:p w:rsidR="00B40618" w:rsidRPr="00F85CDA" w:rsidRDefault="00B40618" w:rsidP="00B40618">
      <w:pPr>
        <w:pStyle w:val="Cuerpo"/>
        <w:spacing w:before="120" w:after="120" w:line="360" w:lineRule="auto"/>
        <w:jc w:val="right"/>
        <w:rPr>
          <w:rFonts w:ascii="Arial" w:hAnsi="Arial" w:cs="Arial"/>
          <w:sz w:val="20"/>
          <w:szCs w:val="20"/>
          <w:lang w:val="es-ES"/>
        </w:rPr>
      </w:pPr>
      <w:r w:rsidRPr="00F85CDA">
        <w:rPr>
          <w:rFonts w:ascii="Arial" w:hAnsi="Arial" w:cs="Arial"/>
          <w:noProof/>
          <w:sz w:val="20"/>
          <w:szCs w:val="20"/>
          <w:lang w:val="es-MX" w:eastAsia="es-MX"/>
        </w:rPr>
        <mc:AlternateContent>
          <mc:Choice Requires="wps">
            <w:drawing>
              <wp:anchor distT="0" distB="0" distL="114300" distR="114300" simplePos="0" relativeHeight="251662336" behindDoc="0" locked="0" layoutInCell="1" allowOverlap="1" wp14:anchorId="71B0E17E" wp14:editId="29C791F1">
                <wp:simplePos x="0" y="0"/>
                <wp:positionH relativeFrom="column">
                  <wp:posOffset>228600</wp:posOffset>
                </wp:positionH>
                <wp:positionV relativeFrom="paragraph">
                  <wp:posOffset>78105</wp:posOffset>
                </wp:positionV>
                <wp:extent cx="5029200" cy="0"/>
                <wp:effectExtent l="0" t="76200" r="50800" b="101600"/>
                <wp:wrapNone/>
                <wp:docPr id="4" name="Conector recto de flecha 4"/>
                <wp:cNvGraphicFramePr/>
                <a:graphic xmlns:a="http://schemas.openxmlformats.org/drawingml/2006/main">
                  <a:graphicData uri="http://schemas.microsoft.com/office/word/2010/wordprocessingShape">
                    <wps:wsp>
                      <wps:cNvCnPr/>
                      <wps:spPr>
                        <a:xfrm>
                          <a:off x="0" y="0"/>
                          <a:ext cx="5029200" cy="0"/>
                        </a:xfrm>
                        <a:prstGeom prst="straightConnector1">
                          <a:avLst/>
                        </a:prstGeom>
                        <a:noFill/>
                        <a:ln w="6350" cap="flat">
                          <a:solidFill>
                            <a:srgbClr val="000000"/>
                          </a:solidFill>
                          <a:prstDash val="solid"/>
                          <a:miter lim="400000"/>
                          <a:tailEnd type="triangle"/>
                        </a:ln>
                        <a:effectLst/>
                      </wps:spPr>
                      <wps:style>
                        <a:lnRef idx="0">
                          <a:scrgbClr r="0" g="0" b="0"/>
                        </a:lnRef>
                        <a:fillRef idx="0">
                          <a:scrgbClr r="0" g="0" b="0"/>
                        </a:fillRef>
                        <a:effectRef idx="0">
                          <a:scrgbClr r="0" g="0" b="0"/>
                        </a:effectRef>
                        <a:fontRef idx="none"/>
                      </wps:style>
                      <wps:bodyPr/>
                    </wps:wsp>
                  </a:graphicData>
                </a:graphic>
              </wp:anchor>
            </w:drawing>
          </mc:Choice>
          <mc:Fallback>
            <w:pict>
              <v:shape w14:anchorId="45EBB550" id="Conector recto de flecha 4" o:spid="_x0000_s1026" type="#_x0000_t32" style="position:absolute;margin-left:18pt;margin-top:6.15pt;width:396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" strokeweight=".5pt">
                <v:stroke endarrow="block" miterlimit="4" joinstyle="miter"/>
              </v:shape>
            </w:pict>
          </mc:Fallback>
        </mc:AlternateContent>
      </w:r>
      <w:r w:rsidRPr="00F85CDA">
        <w:rPr>
          <w:rFonts w:ascii="Arial" w:hAnsi="Arial" w:cs="Arial"/>
          <w:sz w:val="20"/>
          <w:szCs w:val="20"/>
          <w:lang w:val="es-ES"/>
        </w:rPr>
        <w:t>C/V</w:t>
      </w:r>
    </w:p>
    <w:p w:rsidR="00B40618" w:rsidRPr="00F85CDA" w:rsidRDefault="00B40618" w:rsidP="00B40618">
      <w:pPr>
        <w:pStyle w:val="Cuerpo"/>
        <w:rPr>
          <w:rFonts w:ascii="Arial" w:hAnsi="Arial" w:cs="Arial"/>
          <w:sz w:val="20"/>
          <w:szCs w:val="20"/>
        </w:rPr>
      </w:pPr>
      <w:r w:rsidRPr="00F85CDA">
        <w:rPr>
          <w:rFonts w:ascii="Arial" w:hAnsi="Arial" w:cs="Arial"/>
          <w:sz w:val="20"/>
          <w:szCs w:val="20"/>
        </w:rPr>
        <w:t xml:space="preserve">Fuente: </w:t>
      </w:r>
      <w:r>
        <w:rPr>
          <w:rFonts w:ascii="Arial" w:hAnsi="Arial" w:cs="Arial"/>
          <w:sz w:val="20"/>
          <w:szCs w:val="20"/>
        </w:rPr>
        <w:t>e</w:t>
      </w:r>
      <w:r w:rsidRPr="00F85CDA">
        <w:rPr>
          <w:rFonts w:ascii="Arial" w:hAnsi="Arial" w:cs="Arial"/>
          <w:sz w:val="20"/>
          <w:szCs w:val="20"/>
        </w:rPr>
        <w:t>laboración propia</w:t>
      </w:r>
    </w:p>
    <w:p w:rsidR="00B40618" w:rsidRPr="00F85CDA" w:rsidRDefault="00B40618" w:rsidP="00B40618">
      <w:pPr>
        <w:pStyle w:val="Cuerpo"/>
        <w:rPr>
          <w:rFonts w:ascii="Arial" w:hAnsi="Arial" w:cs="Arial"/>
          <w:sz w:val="20"/>
          <w:szCs w:val="20"/>
        </w:rPr>
      </w:pPr>
      <w:r w:rsidRPr="00F85CDA">
        <w:rPr>
          <w:rFonts w:ascii="Arial" w:hAnsi="Arial" w:cs="Arial"/>
          <w:sz w:val="20"/>
          <w:szCs w:val="20"/>
        </w:rPr>
        <w:t>S/V= SIN VINCULACIÓN</w:t>
      </w:r>
    </w:p>
    <w:p w:rsidR="00B40618" w:rsidRPr="00F85CDA" w:rsidRDefault="00B40618" w:rsidP="00B40618">
      <w:pPr>
        <w:pStyle w:val="Cuerpo"/>
        <w:rPr>
          <w:rFonts w:ascii="Arial" w:hAnsi="Arial" w:cs="Arial"/>
          <w:sz w:val="20"/>
          <w:szCs w:val="20"/>
        </w:rPr>
      </w:pPr>
      <w:r w:rsidRPr="00F85CDA">
        <w:rPr>
          <w:rFonts w:ascii="Arial" w:hAnsi="Arial" w:cs="Arial"/>
          <w:sz w:val="20"/>
          <w:szCs w:val="20"/>
        </w:rPr>
        <w:t>C/V= CON VINCULACIÓN</w:t>
      </w:r>
    </w:p>
    <w:p w:rsidR="00B40618" w:rsidRPr="00012A70" w:rsidRDefault="00B40618" w:rsidP="00B40618">
      <w:pPr>
        <w:pStyle w:val="Cuerpo"/>
        <w:spacing w:before="120" w:after="120" w:line="360" w:lineRule="auto"/>
        <w:jc w:val="both"/>
        <w:rPr>
          <w:rFonts w:ascii="Arial" w:hAnsi="Arial" w:cs="Arial"/>
        </w:rPr>
      </w:pPr>
    </w:p>
    <w:p w:rsidR="005E3AC9" w:rsidRDefault="005E3AC9" w:rsidP="00B40618">
      <w:pPr>
        <w:pStyle w:val="Cuerpo"/>
        <w:spacing w:before="120" w:after="120" w:line="480" w:lineRule="auto"/>
        <w:jc w:val="both"/>
        <w:rPr>
          <w:rFonts w:ascii="Arial" w:hAnsi="Arial" w:cs="Arial"/>
        </w:rPr>
      </w:pPr>
    </w:p>
    <w:p w:rsidR="005E3AC9" w:rsidRDefault="005E3AC9" w:rsidP="005E3AC9">
      <w:pPr>
        <w:pStyle w:val="Cuerpo"/>
        <w:spacing w:before="120" w:after="120" w:line="360" w:lineRule="auto"/>
        <w:jc w:val="both"/>
        <w:rPr>
          <w:rFonts w:hAnsi="Times New Roman" w:cs="Times New Roman"/>
        </w:rPr>
      </w:pPr>
    </w:p>
    <w:p w:rsidR="005E3AC9" w:rsidRDefault="005E3AC9" w:rsidP="005E3AC9">
      <w:pPr>
        <w:pStyle w:val="Cuerpo"/>
        <w:spacing w:before="120" w:after="120" w:line="360" w:lineRule="auto"/>
        <w:jc w:val="both"/>
        <w:rPr>
          <w:rFonts w:hAnsi="Times New Roman" w:cs="Times New Roman"/>
        </w:rPr>
      </w:pPr>
    </w:p>
    <w:p w:rsidR="00B40618" w:rsidRPr="005E3AC9" w:rsidRDefault="00B40618" w:rsidP="005E3AC9">
      <w:pPr>
        <w:pStyle w:val="Cuerpo"/>
        <w:spacing w:before="120" w:after="120" w:line="360" w:lineRule="auto"/>
        <w:jc w:val="both"/>
        <w:rPr>
          <w:rFonts w:hAnsi="Times New Roman" w:cs="Times New Roman"/>
        </w:rPr>
      </w:pPr>
      <w:r w:rsidRPr="005E3AC9">
        <w:rPr>
          <w:rFonts w:hAnsi="Times New Roman" w:cs="Times New Roman"/>
        </w:rPr>
        <w:t>Finalmente, los ciudadanos pueden incidir directamente en algunas decisiones a través de mecanismos de alta deliberación respecto al proceso de decisión, dichas instituciones contribuyen al proceso de toma de decisiones no solo emitiendo opiniones, sino orientando las acciones del gobierno mediante el poder de decisión otorgado por instrumentos como la iniciativa popular, contralorías sociales, revocación</w:t>
      </w:r>
      <w:r w:rsidRPr="005E3AC9">
        <w:rPr>
          <w:rFonts w:hAnsi="Times New Roman" w:cs="Times New Roman"/>
          <w:lang w:val="it-IT"/>
        </w:rPr>
        <w:t xml:space="preserve"> del mandato</w:t>
      </w:r>
      <w:r w:rsidRPr="005E3AC9">
        <w:rPr>
          <w:rFonts w:hAnsi="Times New Roman" w:cs="Times New Roman"/>
        </w:rPr>
        <w:t xml:space="preserve"> o reconocimiento legal del cabildeo. </w:t>
      </w:r>
      <w:r w:rsidRPr="005E3AC9">
        <w:rPr>
          <w:rStyle w:val="Refdenotaalpie"/>
          <w:rFonts w:hAnsi="Times New Roman" w:cs="Times New Roman"/>
        </w:rPr>
        <w:footnoteReference w:id="5"/>
      </w:r>
    </w:p>
    <w:p w:rsidR="005E3AC9" w:rsidRDefault="005E3AC9" w:rsidP="005E3AC9">
      <w:pPr>
        <w:pStyle w:val="Cuerpo"/>
        <w:spacing w:before="120" w:after="120" w:line="360" w:lineRule="auto"/>
        <w:jc w:val="both"/>
        <w:rPr>
          <w:rFonts w:hAnsi="Times New Roman" w:cs="Times New Roman"/>
        </w:rPr>
      </w:pPr>
    </w:p>
    <w:p w:rsidR="00B40618" w:rsidRPr="005E3AC9" w:rsidRDefault="00B40618" w:rsidP="005E3AC9">
      <w:pPr>
        <w:pStyle w:val="Cuerpo"/>
        <w:spacing w:before="120" w:after="120" w:line="360" w:lineRule="auto"/>
        <w:jc w:val="both"/>
        <w:rPr>
          <w:rFonts w:hAnsi="Times New Roman" w:cs="Times New Roman"/>
        </w:rPr>
      </w:pPr>
      <w:r w:rsidRPr="005E3AC9">
        <w:rPr>
          <w:rFonts w:hAnsi="Times New Roman" w:cs="Times New Roman"/>
        </w:rPr>
        <w:t xml:space="preserve">En términos generales, los países latinoamericanos cuentan con instancias institucionales de acceso ciudadano, sin embargo, la eficacia de los instrumentos varía de país en país y depende del nivel de apertura, vinculación y responsabilidad a la que están sujetos los legisladores. Por ejemplo, en Chile los legisladores rinden cuentas sobre los recursos utilizados; además de tener una auditoría parlamentaria, encargada de controlar los fondos públicos para la función legislativa, cuenta con un Consejo Resolutivo de Asignaciones Parlamentarias, integrado por exfuncionarios, académicos y especialistas en manejo presupuestal. Adicionalmente, los asambleístas deben presentar su Declaración de Intereses jurada de patrimonio para la consulta pública. En contraste, Perú cuenta con una Comisión de Ética Parlamentaria, que previene, investiga y sanciona a los congresistas infractores, sin embargo, la comisión es integrada por los mismos parlamentarios. </w:t>
      </w:r>
    </w:p>
    <w:p w:rsidR="00B40618" w:rsidRPr="005E3AC9" w:rsidRDefault="00B40618" w:rsidP="005E3AC9">
      <w:pPr>
        <w:pStyle w:val="Cuerpo"/>
        <w:spacing w:before="120" w:after="120" w:line="360" w:lineRule="auto"/>
        <w:jc w:val="both"/>
        <w:rPr>
          <w:rFonts w:hAnsi="Times New Roman" w:cs="Times New Roman"/>
        </w:rPr>
      </w:pPr>
      <w:r w:rsidRPr="005E3AC9">
        <w:rPr>
          <w:rFonts w:hAnsi="Times New Roman" w:cs="Times New Roman"/>
        </w:rPr>
        <w:t>En Bolivia y Ecuador sobresalen las oficinas ciudadanas de gestión y atención ciudadana en los distritos electorales de sus representantes. Argentina y Colombia cuentan con Audiencias Públicas donde los ciudadanos y representantes de asociaciones exponen temas de interés (Transparencia, 2013). Es decir, mientras en Chile los legisladores son sujetos de responsabilidad presupuestal; en Bolivia y Ecuador la relación con los ciudadanos es de gestión y de alguna manera consultiva no vinculante. En Colombia y Argentina las audiencias son un acceso al debate ciudadano, pero sin fuerza vinculatoria.</w:t>
      </w:r>
    </w:p>
    <w:p w:rsidR="00B40618" w:rsidRDefault="00B40618" w:rsidP="005E3AC9">
      <w:pPr>
        <w:pStyle w:val="Cuerpo"/>
        <w:spacing w:before="120" w:after="120" w:line="360" w:lineRule="auto"/>
        <w:jc w:val="both"/>
        <w:rPr>
          <w:rFonts w:hAnsi="Times New Roman" w:cs="Times New Roman"/>
        </w:rPr>
      </w:pPr>
      <w:r w:rsidRPr="005E3AC9">
        <w:rPr>
          <w:rFonts w:hAnsi="Times New Roman" w:cs="Times New Roman"/>
        </w:rPr>
        <w:t xml:space="preserve">La importancia de las instancias de monitoreo y auditoría legislativa son prioritarias en la medida en la que los Congresos han incrementado exponencialmente sus presupuestos como parte de los procesos de modernización institucional que favorecen la autonomía. Por ejemplo, tomamos como referente el Congreso Norteamericano como la asamblea que cuenta con el mayor número de personal especializado en diversas materias de política pública. Llama la atención que Brasil sea el segundo Congreso con mayor presupuesto en el mundo, o que México ocupe el quinto lugar o Argentina el séptimo (ver cuadro 6). A nivel </w:t>
      </w:r>
      <w:r w:rsidRPr="005E3AC9">
        <w:rPr>
          <w:rFonts w:hAnsi="Times New Roman" w:cs="Times New Roman"/>
        </w:rPr>
        <w:lastRenderedPageBreak/>
        <w:t>regional estos últimos tres Congresos ocupan los tres primeros lugares en asignaciones presupuestales altas, situación que no se corresponde con los índices de transparencia presupuestal identificados en la gráfica 2 (Unión Interparlamentaria, 2012).</w:t>
      </w:r>
    </w:p>
    <w:p w:rsidR="005E3AC9" w:rsidRDefault="005E3AC9" w:rsidP="005E3AC9">
      <w:pPr>
        <w:pStyle w:val="Cuerpo"/>
        <w:spacing w:before="120" w:after="120" w:line="360" w:lineRule="auto"/>
        <w:jc w:val="both"/>
        <w:rPr>
          <w:rFonts w:hAnsi="Times New Roman" w:cs="Times New Roman"/>
        </w:rPr>
      </w:pPr>
    </w:p>
    <w:p w:rsidR="005E3AC9" w:rsidRDefault="005E3AC9" w:rsidP="005E3AC9">
      <w:pPr>
        <w:pStyle w:val="Cuerpo"/>
        <w:spacing w:before="120" w:after="120" w:line="360" w:lineRule="auto"/>
        <w:jc w:val="both"/>
        <w:rPr>
          <w:rFonts w:ascii="Arial" w:hAnsi="Arial" w:cs="Arial"/>
        </w:rPr>
      </w:pPr>
    </w:p>
    <w:p w:rsidR="00B40618" w:rsidRPr="00F85CDA" w:rsidRDefault="00B40618" w:rsidP="005E3AC9">
      <w:pPr>
        <w:pStyle w:val="Cuerpo"/>
        <w:spacing w:before="120" w:after="120" w:line="360" w:lineRule="auto"/>
        <w:jc w:val="center"/>
        <w:rPr>
          <w:rFonts w:ascii="Arial" w:hAnsi="Arial" w:cs="Arial"/>
          <w:sz w:val="20"/>
          <w:szCs w:val="20"/>
        </w:rPr>
      </w:pPr>
      <w:r w:rsidRPr="00F85CDA">
        <w:rPr>
          <w:rFonts w:ascii="Arial" w:hAnsi="Arial" w:cs="Arial"/>
          <w:sz w:val="20"/>
          <w:szCs w:val="20"/>
        </w:rPr>
        <w:t>Cuadro 6. Asignaciones presupuestales e índice de transparencia</w:t>
      </w:r>
    </w:p>
    <w:tbl>
      <w:tblPr>
        <w:tblStyle w:val="Tablaconcuadrcula"/>
        <w:tblW w:w="0" w:type="auto"/>
        <w:jc w:val="center"/>
        <w:tblLook w:val="04A0" w:firstRow="1" w:lastRow="0" w:firstColumn="1" w:lastColumn="0" w:noHBand="0" w:noVBand="1"/>
      </w:tblPr>
      <w:tblGrid>
        <w:gridCol w:w="2992"/>
        <w:gridCol w:w="2993"/>
        <w:gridCol w:w="2993"/>
      </w:tblGrid>
      <w:tr w:rsidR="00B40618" w:rsidRPr="00F85CDA" w:rsidTr="005E3AC9">
        <w:trPr>
          <w:jc w:val="center"/>
        </w:trPr>
        <w:tc>
          <w:tcPr>
            <w:tcW w:w="2992" w:type="dxa"/>
          </w:tcPr>
          <w:p w:rsidR="00B40618" w:rsidRPr="00F85CDA" w:rsidRDefault="00B40618" w:rsidP="00CE4D9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85CDA">
              <w:rPr>
                <w:rFonts w:ascii="Arial" w:hAnsi="Arial" w:cs="Arial"/>
                <w:lang w:val="es-ES"/>
              </w:rPr>
              <w:t>País</w:t>
            </w:r>
          </w:p>
        </w:tc>
        <w:tc>
          <w:tcPr>
            <w:tcW w:w="2993" w:type="dxa"/>
          </w:tcPr>
          <w:p w:rsidR="00B40618" w:rsidRPr="00F85CDA" w:rsidRDefault="00B40618" w:rsidP="00CE4D9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85CDA">
              <w:rPr>
                <w:rFonts w:ascii="Arial" w:hAnsi="Arial" w:cs="Arial"/>
                <w:lang w:val="es-ES"/>
              </w:rPr>
              <w:t>Asignación presupuestal (en millones de dólares)</w:t>
            </w:r>
          </w:p>
        </w:tc>
        <w:tc>
          <w:tcPr>
            <w:tcW w:w="2993" w:type="dxa"/>
          </w:tcPr>
          <w:p w:rsidR="00B40618" w:rsidRPr="00F85CDA" w:rsidRDefault="00B40618" w:rsidP="00CE4D9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85CDA">
              <w:rPr>
                <w:rFonts w:ascii="Arial" w:hAnsi="Arial" w:cs="Arial"/>
                <w:lang w:val="es-ES"/>
              </w:rPr>
              <w:t>Índice de transparencia presupuestal*</w:t>
            </w:r>
          </w:p>
        </w:tc>
      </w:tr>
      <w:tr w:rsidR="00B40618" w:rsidRPr="00F85CDA" w:rsidTr="005E3AC9">
        <w:trPr>
          <w:jc w:val="center"/>
        </w:trPr>
        <w:tc>
          <w:tcPr>
            <w:tcW w:w="2992" w:type="dxa"/>
          </w:tcPr>
          <w:p w:rsidR="00B40618" w:rsidRPr="00F85CDA" w:rsidRDefault="00B40618" w:rsidP="00CE4D9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85CDA">
              <w:rPr>
                <w:rFonts w:ascii="Arial" w:hAnsi="Arial" w:cs="Arial"/>
                <w:lang w:val="es-ES"/>
              </w:rPr>
              <w:t>Brasil</w:t>
            </w:r>
          </w:p>
        </w:tc>
        <w:tc>
          <w:tcPr>
            <w:tcW w:w="2993" w:type="dxa"/>
          </w:tcPr>
          <w:p w:rsidR="00B40618" w:rsidRPr="00F85CDA" w:rsidRDefault="00B40618" w:rsidP="00CE4D9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85CDA">
              <w:rPr>
                <w:rFonts w:ascii="Arial" w:hAnsi="Arial" w:cs="Arial"/>
                <w:lang w:val="es-ES"/>
              </w:rPr>
              <w:t>35</w:t>
            </w:r>
            <w:r>
              <w:rPr>
                <w:rFonts w:ascii="Arial" w:hAnsi="Arial" w:cs="Arial"/>
                <w:lang w:val="es-ES"/>
              </w:rPr>
              <w:t xml:space="preserve"> </w:t>
            </w:r>
            <w:r w:rsidRPr="00F85CDA">
              <w:rPr>
                <w:rFonts w:ascii="Arial" w:hAnsi="Arial" w:cs="Arial"/>
                <w:lang w:val="es-ES"/>
              </w:rPr>
              <w:t>105.7</w:t>
            </w:r>
          </w:p>
        </w:tc>
        <w:tc>
          <w:tcPr>
            <w:tcW w:w="2993" w:type="dxa"/>
          </w:tcPr>
          <w:p w:rsidR="00B40618" w:rsidRPr="00F85CDA" w:rsidRDefault="00B40618" w:rsidP="00CE4D9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85CDA">
              <w:rPr>
                <w:rFonts w:ascii="Arial" w:hAnsi="Arial" w:cs="Arial"/>
                <w:lang w:val="es-ES"/>
              </w:rPr>
              <w:t>S/D</w:t>
            </w:r>
          </w:p>
        </w:tc>
      </w:tr>
      <w:tr w:rsidR="00B40618" w:rsidRPr="00F85CDA" w:rsidTr="005E3AC9">
        <w:trPr>
          <w:jc w:val="center"/>
        </w:trPr>
        <w:tc>
          <w:tcPr>
            <w:tcW w:w="2992" w:type="dxa"/>
          </w:tcPr>
          <w:p w:rsidR="00B40618" w:rsidRPr="00F85CDA" w:rsidRDefault="00B40618" w:rsidP="00CE4D9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85CDA">
              <w:rPr>
                <w:rFonts w:ascii="Arial" w:hAnsi="Arial" w:cs="Arial"/>
                <w:lang w:val="es-ES"/>
              </w:rPr>
              <w:t>México</w:t>
            </w:r>
          </w:p>
        </w:tc>
        <w:tc>
          <w:tcPr>
            <w:tcW w:w="2993" w:type="dxa"/>
          </w:tcPr>
          <w:p w:rsidR="00B40618" w:rsidRPr="00F85CDA" w:rsidRDefault="00B40618" w:rsidP="00CE4D9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85CDA">
              <w:rPr>
                <w:rFonts w:ascii="Arial" w:hAnsi="Arial" w:cs="Arial"/>
                <w:lang w:val="es-ES"/>
              </w:rPr>
              <w:t>8</w:t>
            </w:r>
            <w:r>
              <w:rPr>
                <w:rFonts w:ascii="Arial" w:hAnsi="Arial" w:cs="Arial"/>
                <w:lang w:val="es-ES"/>
              </w:rPr>
              <w:t xml:space="preserve"> </w:t>
            </w:r>
            <w:r w:rsidRPr="00F85CDA">
              <w:rPr>
                <w:rFonts w:ascii="Arial" w:hAnsi="Arial" w:cs="Arial"/>
                <w:lang w:val="es-ES"/>
              </w:rPr>
              <w:t>878.1</w:t>
            </w:r>
          </w:p>
        </w:tc>
        <w:tc>
          <w:tcPr>
            <w:tcW w:w="2993" w:type="dxa"/>
          </w:tcPr>
          <w:p w:rsidR="00B40618" w:rsidRPr="00F85CDA" w:rsidRDefault="00B40618" w:rsidP="00CE4D9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85CDA">
              <w:rPr>
                <w:rFonts w:ascii="Arial" w:hAnsi="Arial" w:cs="Arial"/>
                <w:lang w:val="es-ES"/>
              </w:rPr>
              <w:t>0.21</w:t>
            </w:r>
          </w:p>
        </w:tc>
      </w:tr>
      <w:tr w:rsidR="00B40618" w:rsidRPr="00F85CDA" w:rsidTr="005E3AC9">
        <w:trPr>
          <w:jc w:val="center"/>
        </w:trPr>
        <w:tc>
          <w:tcPr>
            <w:tcW w:w="2992" w:type="dxa"/>
          </w:tcPr>
          <w:p w:rsidR="00B40618" w:rsidRPr="00F85CDA" w:rsidRDefault="00B40618" w:rsidP="00CE4D9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85CDA">
              <w:rPr>
                <w:rFonts w:ascii="Arial" w:hAnsi="Arial" w:cs="Arial"/>
                <w:lang w:val="es-ES"/>
              </w:rPr>
              <w:t>Argentina</w:t>
            </w:r>
          </w:p>
        </w:tc>
        <w:tc>
          <w:tcPr>
            <w:tcW w:w="2993" w:type="dxa"/>
          </w:tcPr>
          <w:p w:rsidR="00B40618" w:rsidRPr="00F85CDA" w:rsidRDefault="00B40618" w:rsidP="00CE4D9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85CDA">
              <w:rPr>
                <w:rFonts w:ascii="Arial" w:hAnsi="Arial" w:cs="Arial"/>
                <w:lang w:val="es-ES"/>
              </w:rPr>
              <w:t>5016.5</w:t>
            </w:r>
          </w:p>
        </w:tc>
        <w:tc>
          <w:tcPr>
            <w:tcW w:w="2993" w:type="dxa"/>
          </w:tcPr>
          <w:p w:rsidR="00B40618" w:rsidRPr="00F85CDA" w:rsidRDefault="00B40618" w:rsidP="00CE4D9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85CDA">
              <w:rPr>
                <w:rFonts w:ascii="Arial" w:hAnsi="Arial" w:cs="Arial"/>
                <w:lang w:val="es-ES"/>
              </w:rPr>
              <w:t>0.17</w:t>
            </w:r>
          </w:p>
        </w:tc>
      </w:tr>
      <w:tr w:rsidR="00B40618" w:rsidRPr="00F85CDA" w:rsidTr="005E3AC9">
        <w:trPr>
          <w:jc w:val="center"/>
        </w:trPr>
        <w:tc>
          <w:tcPr>
            <w:tcW w:w="2992" w:type="dxa"/>
          </w:tcPr>
          <w:p w:rsidR="00B40618" w:rsidRPr="00F85CDA" w:rsidRDefault="00B40618" w:rsidP="00CE4D9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85CDA">
              <w:rPr>
                <w:rFonts w:ascii="Arial" w:hAnsi="Arial" w:cs="Arial"/>
                <w:lang w:val="es-ES"/>
              </w:rPr>
              <w:t>Colombia</w:t>
            </w:r>
          </w:p>
        </w:tc>
        <w:tc>
          <w:tcPr>
            <w:tcW w:w="2993" w:type="dxa"/>
          </w:tcPr>
          <w:p w:rsidR="00B40618" w:rsidRPr="00F85CDA" w:rsidRDefault="00B40618" w:rsidP="00CE4D9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85CDA">
              <w:rPr>
                <w:rFonts w:ascii="Arial" w:hAnsi="Arial" w:cs="Arial"/>
                <w:lang w:val="es-ES"/>
              </w:rPr>
              <w:t>2</w:t>
            </w:r>
            <w:r>
              <w:rPr>
                <w:rFonts w:ascii="Arial" w:hAnsi="Arial" w:cs="Arial"/>
                <w:lang w:val="es-ES"/>
              </w:rPr>
              <w:t xml:space="preserve"> </w:t>
            </w:r>
            <w:r w:rsidRPr="00F85CDA">
              <w:rPr>
                <w:rFonts w:ascii="Arial" w:hAnsi="Arial" w:cs="Arial"/>
                <w:lang w:val="es-ES"/>
              </w:rPr>
              <w:t>468.8</w:t>
            </w:r>
          </w:p>
        </w:tc>
        <w:tc>
          <w:tcPr>
            <w:tcW w:w="2993" w:type="dxa"/>
          </w:tcPr>
          <w:p w:rsidR="00B40618" w:rsidRPr="00F85CDA" w:rsidRDefault="00B40618" w:rsidP="00CE4D9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85CDA">
              <w:rPr>
                <w:rFonts w:ascii="Arial" w:hAnsi="Arial" w:cs="Arial"/>
                <w:lang w:val="es-ES"/>
              </w:rPr>
              <w:t>0.25</w:t>
            </w:r>
          </w:p>
        </w:tc>
      </w:tr>
      <w:tr w:rsidR="00B40618" w:rsidRPr="00F85CDA" w:rsidTr="005E3AC9">
        <w:trPr>
          <w:jc w:val="center"/>
        </w:trPr>
        <w:tc>
          <w:tcPr>
            <w:tcW w:w="2992" w:type="dxa"/>
          </w:tcPr>
          <w:p w:rsidR="00B40618" w:rsidRPr="00F85CDA" w:rsidRDefault="00B40618" w:rsidP="00CE4D9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85CDA">
              <w:rPr>
                <w:rFonts w:ascii="Arial" w:hAnsi="Arial" w:cs="Arial"/>
                <w:lang w:val="es-ES"/>
              </w:rPr>
              <w:t>Venezuela</w:t>
            </w:r>
          </w:p>
        </w:tc>
        <w:tc>
          <w:tcPr>
            <w:tcW w:w="2993" w:type="dxa"/>
          </w:tcPr>
          <w:p w:rsidR="00B40618" w:rsidRPr="00F85CDA" w:rsidRDefault="00B40618" w:rsidP="00CE4D9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85CDA">
              <w:rPr>
                <w:rFonts w:ascii="Arial" w:hAnsi="Arial" w:cs="Arial"/>
                <w:lang w:val="es-ES"/>
              </w:rPr>
              <w:t>2</w:t>
            </w:r>
            <w:r>
              <w:rPr>
                <w:rFonts w:ascii="Arial" w:hAnsi="Arial" w:cs="Arial"/>
                <w:lang w:val="es-ES"/>
              </w:rPr>
              <w:t xml:space="preserve"> </w:t>
            </w:r>
            <w:r w:rsidRPr="00F85CDA">
              <w:rPr>
                <w:rFonts w:ascii="Arial" w:hAnsi="Arial" w:cs="Arial"/>
                <w:lang w:val="es-ES"/>
              </w:rPr>
              <w:t>276</w:t>
            </w:r>
          </w:p>
        </w:tc>
        <w:tc>
          <w:tcPr>
            <w:tcW w:w="2993" w:type="dxa"/>
          </w:tcPr>
          <w:p w:rsidR="00B40618" w:rsidRPr="00F85CDA" w:rsidRDefault="00B40618" w:rsidP="00CE4D9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85CDA">
              <w:rPr>
                <w:rFonts w:ascii="Arial" w:hAnsi="Arial" w:cs="Arial"/>
                <w:lang w:val="es-ES"/>
              </w:rPr>
              <w:t>0.12</w:t>
            </w:r>
          </w:p>
        </w:tc>
      </w:tr>
      <w:tr w:rsidR="00B40618" w:rsidRPr="00F85CDA" w:rsidTr="005E3AC9">
        <w:trPr>
          <w:jc w:val="center"/>
        </w:trPr>
        <w:tc>
          <w:tcPr>
            <w:tcW w:w="2992" w:type="dxa"/>
          </w:tcPr>
          <w:p w:rsidR="00B40618" w:rsidRPr="00F85CDA" w:rsidRDefault="00B40618" w:rsidP="00CE4D9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85CDA">
              <w:rPr>
                <w:rFonts w:ascii="Arial" w:hAnsi="Arial" w:cs="Arial"/>
                <w:lang w:val="es-ES"/>
              </w:rPr>
              <w:t>República Dominicana</w:t>
            </w:r>
          </w:p>
        </w:tc>
        <w:tc>
          <w:tcPr>
            <w:tcW w:w="2993" w:type="dxa"/>
          </w:tcPr>
          <w:p w:rsidR="00B40618" w:rsidRPr="00F85CDA" w:rsidRDefault="00B40618" w:rsidP="00CE4D9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85CDA">
              <w:rPr>
                <w:rFonts w:ascii="Arial" w:hAnsi="Arial" w:cs="Arial"/>
                <w:lang w:val="es-ES"/>
              </w:rPr>
              <w:t>1</w:t>
            </w:r>
            <w:r>
              <w:rPr>
                <w:rFonts w:ascii="Arial" w:hAnsi="Arial" w:cs="Arial"/>
                <w:lang w:val="es-ES"/>
              </w:rPr>
              <w:t xml:space="preserve"> </w:t>
            </w:r>
            <w:r w:rsidRPr="00F85CDA">
              <w:rPr>
                <w:rFonts w:ascii="Arial" w:hAnsi="Arial" w:cs="Arial"/>
                <w:lang w:val="es-ES"/>
              </w:rPr>
              <w:t>952.7</w:t>
            </w:r>
          </w:p>
        </w:tc>
        <w:tc>
          <w:tcPr>
            <w:tcW w:w="2993" w:type="dxa"/>
          </w:tcPr>
          <w:p w:rsidR="00B40618" w:rsidRPr="00F85CDA" w:rsidRDefault="00B40618" w:rsidP="00CE4D9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85CDA">
              <w:rPr>
                <w:rFonts w:ascii="Arial" w:hAnsi="Arial" w:cs="Arial"/>
                <w:lang w:val="es-ES"/>
              </w:rPr>
              <w:t>S/D</w:t>
            </w:r>
          </w:p>
        </w:tc>
      </w:tr>
      <w:tr w:rsidR="00B40618" w:rsidRPr="00F85CDA" w:rsidTr="005E3AC9">
        <w:trPr>
          <w:jc w:val="center"/>
        </w:trPr>
        <w:tc>
          <w:tcPr>
            <w:tcW w:w="2992" w:type="dxa"/>
          </w:tcPr>
          <w:p w:rsidR="00B40618" w:rsidRPr="00F85CDA" w:rsidRDefault="00B40618" w:rsidP="00CE4D9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85CDA">
              <w:rPr>
                <w:rFonts w:ascii="Arial" w:hAnsi="Arial" w:cs="Arial"/>
                <w:lang w:val="es-ES"/>
              </w:rPr>
              <w:t>Chile</w:t>
            </w:r>
          </w:p>
        </w:tc>
        <w:tc>
          <w:tcPr>
            <w:tcW w:w="2993" w:type="dxa"/>
          </w:tcPr>
          <w:p w:rsidR="00B40618" w:rsidRPr="00F85CDA" w:rsidRDefault="00B40618" w:rsidP="00CE4D9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85CDA">
              <w:rPr>
                <w:rFonts w:ascii="Arial" w:hAnsi="Arial" w:cs="Arial"/>
                <w:lang w:val="es-ES"/>
              </w:rPr>
              <w:t>1</w:t>
            </w:r>
            <w:r>
              <w:rPr>
                <w:rFonts w:ascii="Arial" w:hAnsi="Arial" w:cs="Arial"/>
                <w:lang w:val="es-ES"/>
              </w:rPr>
              <w:t xml:space="preserve"> </w:t>
            </w:r>
            <w:r w:rsidRPr="00F85CDA">
              <w:rPr>
                <w:rFonts w:ascii="Arial" w:hAnsi="Arial" w:cs="Arial"/>
                <w:lang w:val="es-ES"/>
              </w:rPr>
              <w:t>633.2</w:t>
            </w:r>
          </w:p>
        </w:tc>
        <w:tc>
          <w:tcPr>
            <w:tcW w:w="2993" w:type="dxa"/>
          </w:tcPr>
          <w:p w:rsidR="00B40618" w:rsidRPr="00F85CDA" w:rsidRDefault="00B40618" w:rsidP="00CE4D9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85CDA">
              <w:rPr>
                <w:rFonts w:ascii="Arial" w:hAnsi="Arial" w:cs="Arial"/>
                <w:lang w:val="es-ES"/>
              </w:rPr>
              <w:t>0.50</w:t>
            </w:r>
          </w:p>
        </w:tc>
      </w:tr>
      <w:tr w:rsidR="00B40618" w:rsidRPr="00F85CDA" w:rsidTr="005E3AC9">
        <w:trPr>
          <w:jc w:val="center"/>
        </w:trPr>
        <w:tc>
          <w:tcPr>
            <w:tcW w:w="2992" w:type="dxa"/>
          </w:tcPr>
          <w:p w:rsidR="00B40618" w:rsidRPr="00F85CDA" w:rsidRDefault="00B40618" w:rsidP="00CE4D9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85CDA">
              <w:rPr>
                <w:rFonts w:ascii="Arial" w:hAnsi="Arial" w:cs="Arial"/>
                <w:lang w:val="es-ES"/>
              </w:rPr>
              <w:t>Uruguay</w:t>
            </w:r>
          </w:p>
        </w:tc>
        <w:tc>
          <w:tcPr>
            <w:tcW w:w="2993" w:type="dxa"/>
          </w:tcPr>
          <w:p w:rsidR="00B40618" w:rsidRPr="00F85CDA" w:rsidRDefault="00B40618" w:rsidP="00CE4D9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85CDA">
              <w:rPr>
                <w:rFonts w:ascii="Arial" w:hAnsi="Arial" w:cs="Arial"/>
                <w:lang w:val="es-ES"/>
              </w:rPr>
              <w:t>1</w:t>
            </w:r>
            <w:r>
              <w:rPr>
                <w:rFonts w:ascii="Arial" w:hAnsi="Arial" w:cs="Arial"/>
                <w:lang w:val="es-ES"/>
              </w:rPr>
              <w:t xml:space="preserve"> </w:t>
            </w:r>
            <w:r w:rsidRPr="00F85CDA">
              <w:rPr>
                <w:rFonts w:ascii="Arial" w:hAnsi="Arial" w:cs="Arial"/>
                <w:lang w:val="es-ES"/>
              </w:rPr>
              <w:t>113.4</w:t>
            </w:r>
          </w:p>
        </w:tc>
        <w:tc>
          <w:tcPr>
            <w:tcW w:w="2993" w:type="dxa"/>
          </w:tcPr>
          <w:p w:rsidR="00B40618" w:rsidRPr="00F85CDA" w:rsidRDefault="00B40618" w:rsidP="00CE4D9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85CDA">
              <w:rPr>
                <w:rFonts w:ascii="Arial" w:hAnsi="Arial" w:cs="Arial"/>
                <w:lang w:val="es-ES"/>
              </w:rPr>
              <w:t>S/D</w:t>
            </w:r>
          </w:p>
        </w:tc>
      </w:tr>
      <w:tr w:rsidR="00B40618" w:rsidRPr="00F85CDA" w:rsidTr="005E3AC9">
        <w:trPr>
          <w:jc w:val="center"/>
        </w:trPr>
        <w:tc>
          <w:tcPr>
            <w:tcW w:w="2992" w:type="dxa"/>
          </w:tcPr>
          <w:p w:rsidR="00B40618" w:rsidRPr="00F85CDA" w:rsidRDefault="00B40618" w:rsidP="00CE4D9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85CDA">
              <w:rPr>
                <w:rFonts w:ascii="Arial" w:hAnsi="Arial" w:cs="Arial"/>
                <w:lang w:val="es-ES"/>
              </w:rPr>
              <w:t>Costa Rica</w:t>
            </w:r>
          </w:p>
        </w:tc>
        <w:tc>
          <w:tcPr>
            <w:tcW w:w="2993" w:type="dxa"/>
          </w:tcPr>
          <w:p w:rsidR="00B40618" w:rsidRPr="00F85CDA" w:rsidRDefault="00B40618" w:rsidP="00CE4D9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85CDA">
              <w:rPr>
                <w:rFonts w:ascii="Arial" w:hAnsi="Arial" w:cs="Arial"/>
                <w:lang w:val="es-ES"/>
              </w:rPr>
              <w:t>498.1</w:t>
            </w:r>
          </w:p>
        </w:tc>
        <w:tc>
          <w:tcPr>
            <w:tcW w:w="2993" w:type="dxa"/>
          </w:tcPr>
          <w:p w:rsidR="00B40618" w:rsidRPr="00F85CDA" w:rsidRDefault="00B40618" w:rsidP="00CE4D9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85CDA">
              <w:rPr>
                <w:rFonts w:ascii="Arial" w:hAnsi="Arial" w:cs="Arial"/>
                <w:lang w:val="es-ES"/>
              </w:rPr>
              <w:t>S/D</w:t>
            </w:r>
          </w:p>
        </w:tc>
      </w:tr>
    </w:tbl>
    <w:p w:rsidR="00B40618" w:rsidRPr="00F85CDA" w:rsidRDefault="00B40618" w:rsidP="005E3AC9">
      <w:pPr>
        <w:pStyle w:val="Cuerpo"/>
        <w:spacing w:before="120" w:after="120"/>
        <w:jc w:val="center"/>
        <w:rPr>
          <w:rFonts w:ascii="Arial" w:hAnsi="Arial" w:cs="Arial"/>
          <w:sz w:val="20"/>
          <w:szCs w:val="20"/>
          <w:lang w:val="es-ES"/>
        </w:rPr>
      </w:pPr>
      <w:r w:rsidRPr="00F85CDA">
        <w:rPr>
          <w:rFonts w:ascii="Arial" w:hAnsi="Arial" w:cs="Arial"/>
          <w:sz w:val="20"/>
          <w:szCs w:val="20"/>
          <w:lang w:val="es-ES"/>
        </w:rPr>
        <w:t xml:space="preserve">*El índice tiene un rango entre 0 y 1, </w:t>
      </w:r>
      <w:r>
        <w:rPr>
          <w:rFonts w:ascii="Arial" w:hAnsi="Arial" w:cs="Arial"/>
          <w:sz w:val="20"/>
          <w:szCs w:val="20"/>
          <w:lang w:val="es-ES"/>
        </w:rPr>
        <w:t xml:space="preserve">siendo </w:t>
      </w:r>
      <w:r w:rsidRPr="00F85CDA">
        <w:rPr>
          <w:rFonts w:ascii="Arial" w:hAnsi="Arial" w:cs="Arial"/>
          <w:sz w:val="20"/>
          <w:szCs w:val="20"/>
          <w:lang w:val="es-ES"/>
        </w:rPr>
        <w:t>los cercanos al cero los menos transparentes y los cercanos al uno los más transparentes</w:t>
      </w:r>
      <w:r>
        <w:rPr>
          <w:rFonts w:ascii="Arial" w:hAnsi="Arial" w:cs="Arial"/>
          <w:sz w:val="20"/>
          <w:szCs w:val="20"/>
          <w:lang w:val="es-ES"/>
        </w:rPr>
        <w:t>.</w:t>
      </w:r>
    </w:p>
    <w:p w:rsidR="00B40618" w:rsidRPr="00F85CDA" w:rsidRDefault="00B40618" w:rsidP="005E3AC9">
      <w:pPr>
        <w:pStyle w:val="Cuerpo"/>
        <w:spacing w:before="120" w:after="120"/>
        <w:jc w:val="center"/>
        <w:rPr>
          <w:rFonts w:ascii="Arial" w:hAnsi="Arial" w:cs="Arial"/>
          <w:sz w:val="20"/>
          <w:szCs w:val="20"/>
          <w:lang w:val="es-ES"/>
        </w:rPr>
      </w:pPr>
      <w:r w:rsidRPr="00F85CDA">
        <w:rPr>
          <w:rFonts w:ascii="Arial" w:hAnsi="Arial" w:cs="Arial"/>
          <w:sz w:val="20"/>
          <w:szCs w:val="20"/>
          <w:lang w:val="es-ES"/>
        </w:rPr>
        <w:t xml:space="preserve">Fuente: </w:t>
      </w:r>
      <w:r>
        <w:rPr>
          <w:rFonts w:ascii="Arial" w:hAnsi="Arial" w:cs="Arial"/>
          <w:sz w:val="20"/>
          <w:szCs w:val="20"/>
          <w:lang w:val="es-ES"/>
        </w:rPr>
        <w:t>e</w:t>
      </w:r>
      <w:r w:rsidRPr="00F85CDA">
        <w:rPr>
          <w:rFonts w:ascii="Arial" w:hAnsi="Arial" w:cs="Arial"/>
          <w:sz w:val="20"/>
          <w:szCs w:val="20"/>
          <w:lang w:val="es-ES"/>
        </w:rPr>
        <w:t xml:space="preserve">laboración propia con base en datos de la Unión Interparlamentaria </w:t>
      </w:r>
      <w:r>
        <w:rPr>
          <w:rFonts w:ascii="Arial" w:hAnsi="Arial" w:cs="Arial"/>
          <w:sz w:val="20"/>
          <w:szCs w:val="20"/>
          <w:lang w:val="es-ES"/>
        </w:rPr>
        <w:t>(</w:t>
      </w:r>
      <w:r w:rsidRPr="00F85CDA">
        <w:rPr>
          <w:rFonts w:ascii="Arial" w:hAnsi="Arial" w:cs="Arial"/>
          <w:sz w:val="20"/>
          <w:szCs w:val="20"/>
          <w:lang w:val="es-ES"/>
        </w:rPr>
        <w:t>2012</w:t>
      </w:r>
      <w:r>
        <w:rPr>
          <w:rFonts w:ascii="Arial" w:hAnsi="Arial" w:cs="Arial"/>
          <w:sz w:val="20"/>
          <w:szCs w:val="20"/>
          <w:lang w:val="es-ES"/>
        </w:rPr>
        <w:t>)</w:t>
      </w:r>
      <w:r w:rsidRPr="00F85CDA">
        <w:rPr>
          <w:rFonts w:ascii="Arial" w:hAnsi="Arial" w:cs="Arial"/>
          <w:sz w:val="20"/>
          <w:szCs w:val="20"/>
          <w:lang w:val="es-ES"/>
        </w:rPr>
        <w:t>;</w:t>
      </w:r>
      <w:r>
        <w:rPr>
          <w:rFonts w:ascii="Arial" w:hAnsi="Arial" w:cs="Arial"/>
          <w:sz w:val="20"/>
          <w:szCs w:val="20"/>
          <w:lang w:val="es-ES"/>
        </w:rPr>
        <w:t xml:space="preserve"> Red Latinoamericana por la Transparencia Legislativa</w:t>
      </w:r>
      <w:r w:rsidRPr="00F85CDA">
        <w:rPr>
          <w:rFonts w:ascii="Arial" w:hAnsi="Arial" w:cs="Arial"/>
          <w:sz w:val="20"/>
          <w:szCs w:val="20"/>
          <w:lang w:val="es-ES"/>
        </w:rPr>
        <w:t xml:space="preserve"> </w:t>
      </w:r>
      <w:r>
        <w:rPr>
          <w:rFonts w:ascii="Arial" w:hAnsi="Arial" w:cs="Arial"/>
          <w:sz w:val="20"/>
          <w:szCs w:val="20"/>
          <w:lang w:val="es-ES"/>
        </w:rPr>
        <w:t>(</w:t>
      </w:r>
      <w:r w:rsidRPr="00F85CDA">
        <w:rPr>
          <w:rFonts w:ascii="Arial" w:hAnsi="Arial" w:cs="Arial"/>
          <w:sz w:val="20"/>
          <w:szCs w:val="20"/>
          <w:lang w:val="es-ES"/>
        </w:rPr>
        <w:t>2014</w:t>
      </w:r>
      <w:r>
        <w:rPr>
          <w:rFonts w:ascii="Arial" w:hAnsi="Arial" w:cs="Arial"/>
          <w:sz w:val="20"/>
          <w:szCs w:val="20"/>
          <w:lang w:val="es-ES"/>
        </w:rPr>
        <w:t>)</w:t>
      </w:r>
      <w:r w:rsidRPr="00F85CDA">
        <w:rPr>
          <w:rFonts w:ascii="Arial" w:hAnsi="Arial" w:cs="Arial"/>
          <w:sz w:val="20"/>
          <w:szCs w:val="20"/>
          <w:lang w:val="es-ES"/>
        </w:rPr>
        <w:t>.</w:t>
      </w:r>
    </w:p>
    <w:p w:rsidR="00B40618" w:rsidRPr="00012A70" w:rsidRDefault="00B40618" w:rsidP="00B40618">
      <w:pPr>
        <w:pStyle w:val="Cuerpo"/>
        <w:spacing w:before="120" w:after="120" w:line="360" w:lineRule="auto"/>
        <w:jc w:val="both"/>
        <w:rPr>
          <w:rFonts w:ascii="Arial" w:hAnsi="Arial" w:cs="Arial"/>
        </w:rPr>
      </w:pPr>
    </w:p>
    <w:p w:rsidR="00B40618" w:rsidRPr="005E3AC9" w:rsidRDefault="00B40618" w:rsidP="005E3AC9">
      <w:pPr>
        <w:pStyle w:val="Cuerpo"/>
        <w:spacing w:before="120" w:after="120" w:line="360" w:lineRule="auto"/>
        <w:jc w:val="both"/>
        <w:rPr>
          <w:rFonts w:hAnsi="Times New Roman" w:cs="Times New Roman"/>
        </w:rPr>
      </w:pPr>
      <w:r w:rsidRPr="005E3AC9">
        <w:rPr>
          <w:rFonts w:hAnsi="Times New Roman" w:cs="Times New Roman"/>
        </w:rPr>
        <w:t>La operatividad de los instrumentos depende de la capacidad organizativa, informativa y/o arg</w:t>
      </w:r>
      <w:r w:rsidRPr="005E3AC9">
        <w:rPr>
          <w:rFonts w:hAnsi="Times New Roman" w:cs="Times New Roman"/>
          <w:lang w:val="es-ES"/>
        </w:rPr>
        <w:t>umentativa</w:t>
      </w:r>
      <w:r w:rsidRPr="005E3AC9">
        <w:rPr>
          <w:rFonts w:hAnsi="Times New Roman" w:cs="Times New Roman"/>
        </w:rPr>
        <w:t xml:space="preserve"> con la que cuentan los ciudadanos. En todos los casos, el objetivo es influir en mayor o menor medida en la agenda legislativa, sin embargo, ¿qué tan efectiva es la respuesta de los legisladores?, ¿simplemente gestionan las distintas demandas, diseñan propuestas al momento de reconocer los problemas o sus acciones repercuten en las instancias de control social?</w:t>
      </w:r>
    </w:p>
    <w:p w:rsidR="00B40618" w:rsidRPr="005E3AC9" w:rsidRDefault="00B40618" w:rsidP="005E3AC9">
      <w:pPr>
        <w:pStyle w:val="Cuerpo"/>
        <w:spacing w:before="120" w:after="120" w:line="360" w:lineRule="auto"/>
        <w:jc w:val="both"/>
        <w:rPr>
          <w:rFonts w:hAnsi="Times New Roman" w:cs="Times New Roman"/>
        </w:rPr>
      </w:pPr>
      <w:r w:rsidRPr="005E3AC9">
        <w:rPr>
          <w:rFonts w:hAnsi="Times New Roman" w:cs="Times New Roman"/>
        </w:rPr>
        <w:t xml:space="preserve">De acuerdo al índice de transparencia legislativa propuesto por la Red Latinoamericana por la Transparencia Legislativa en 2014, la región se caracteriza por sus bajos niveles de transparencia, 40 % de un total de 100, donde destacan Perú y Chile por arriba del promedio con 55 % y 53 % respectivamente y del lado contrario, Venezuela con 21 % y Bolivia con 24 %. Los países intermedios son Argentina, México y Colombia, que oscilan </w:t>
      </w:r>
      <w:r w:rsidRPr="005E3AC9">
        <w:rPr>
          <w:rFonts w:hAnsi="Times New Roman" w:cs="Times New Roman"/>
        </w:rPr>
        <w:lastRenderedPageBreak/>
        <w:t>entre 36 % y 38 % del índice de transparencia (ver gráfica 2).</w:t>
      </w:r>
      <w:r w:rsidRPr="005E3AC9">
        <w:rPr>
          <w:rStyle w:val="Refdenotaalpie"/>
          <w:rFonts w:hAnsi="Times New Roman" w:cs="Times New Roman"/>
        </w:rPr>
        <w:footnoteReference w:id="6"/>
      </w:r>
      <w:r w:rsidRPr="005E3AC9">
        <w:rPr>
          <w:rFonts w:hAnsi="Times New Roman" w:cs="Times New Roman"/>
        </w:rPr>
        <w:t xml:space="preserve"> Es decir, el déficit de transparencia es producto, según el informe, de la ausencia, ambigüedad o discrecionalidad de la normativa en función de diversos elementos como la existencia de leyes o reglamentos referentes a la transparencia, participación ciudadana, rendición de cuentas, control del cabildeo, declaraciones patrimoniales, informes del ejercicio presupuestal legislativo y normativa sobre la publicidad del trabajo legislativo. </w:t>
      </w:r>
    </w:p>
    <w:p w:rsidR="00B40618" w:rsidRDefault="00B40618" w:rsidP="005E3AC9">
      <w:pPr>
        <w:pStyle w:val="Cuerpo"/>
        <w:spacing w:before="120" w:after="120" w:line="360" w:lineRule="auto"/>
        <w:jc w:val="both"/>
        <w:rPr>
          <w:rFonts w:ascii="Arial" w:hAnsi="Arial" w:cs="Arial"/>
        </w:rPr>
      </w:pPr>
      <w:r w:rsidRPr="005E3AC9">
        <w:rPr>
          <w:rFonts w:hAnsi="Times New Roman" w:cs="Times New Roman"/>
        </w:rPr>
        <w:t>De acuerdo con el informe, solo Chile, Perú y México poseen reglamentos de cabildeo, sin embargo, en el informe se afirma que estos todavía son ambiguos. Chile, Ecuador y Guatemala obligan a sus legisladores a informar sobre sus gastos.</w:t>
      </w:r>
      <w:r w:rsidRPr="005E3AC9">
        <w:rPr>
          <w:rStyle w:val="Refdenotaalpie"/>
          <w:rFonts w:hAnsi="Times New Roman" w:cs="Times New Roman"/>
        </w:rPr>
        <w:footnoteReference w:id="7"/>
      </w:r>
      <w:r w:rsidRPr="005E3AC9">
        <w:rPr>
          <w:rFonts w:hAnsi="Times New Roman" w:cs="Times New Roman"/>
        </w:rPr>
        <w:t xml:space="preserve"> De la evaluación de un total de 16 indicadores (ver nota 8) que refieren la existencia de leyes o reglamentos en estos rubros, los países que más se destacan por poseer una normativa al respecto son Perú con 59 %; Ecuador con 51 % y México con 47 %. Contrariamente, Venezuela y Bolivia son los menos destacados en este ámbito con 32 y 30 % cada uno. A pesar de que la existencia de normativa en estos términos es el primer paso, la implementación de la misma es la que realmente contribuye a verificar la verdadera vinculación ciudadana.</w:t>
      </w:r>
    </w:p>
    <w:p w:rsidR="00B40618" w:rsidRDefault="00B40618" w:rsidP="005E3AC9">
      <w:pPr>
        <w:pStyle w:val="Cuerpo"/>
        <w:spacing w:before="120" w:after="120" w:line="360" w:lineRule="auto"/>
        <w:jc w:val="center"/>
        <w:rPr>
          <w:rFonts w:ascii="Arial" w:hAnsi="Arial" w:cs="Arial"/>
        </w:rPr>
      </w:pPr>
      <w:r>
        <w:rPr>
          <w:rFonts w:ascii="Arial" w:hAnsi="Arial" w:cs="Arial"/>
          <w:noProof/>
          <w:lang w:val="es-MX" w:eastAsia="es-MX"/>
        </w:rPr>
        <w:lastRenderedPageBreak/>
        <w:drawing>
          <wp:inline distT="0" distB="0" distL="0" distR="0" wp14:anchorId="2F96D6C9" wp14:editId="48BAAF24">
            <wp:extent cx="4991100" cy="2476500"/>
            <wp:effectExtent l="0" t="0" r="19050"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40618" w:rsidRDefault="00B40618" w:rsidP="00B40618">
      <w:pPr>
        <w:pStyle w:val="Cuerpo"/>
        <w:jc w:val="both"/>
        <w:rPr>
          <w:rFonts w:ascii="Arial" w:hAnsi="Arial" w:cs="Arial"/>
          <w:sz w:val="20"/>
          <w:szCs w:val="20"/>
        </w:rPr>
      </w:pPr>
      <w:r w:rsidRPr="00163C87">
        <w:rPr>
          <w:rFonts w:ascii="Arial" w:hAnsi="Arial" w:cs="Arial"/>
          <w:sz w:val="20"/>
          <w:szCs w:val="20"/>
        </w:rPr>
        <w:t xml:space="preserve">Fuente: </w:t>
      </w:r>
      <w:r>
        <w:rPr>
          <w:rFonts w:ascii="Arial" w:hAnsi="Arial" w:cs="Arial"/>
          <w:sz w:val="20"/>
          <w:szCs w:val="20"/>
        </w:rPr>
        <w:t>e</w:t>
      </w:r>
      <w:r w:rsidRPr="00163C87">
        <w:rPr>
          <w:rFonts w:ascii="Arial" w:hAnsi="Arial" w:cs="Arial"/>
          <w:sz w:val="20"/>
          <w:szCs w:val="20"/>
        </w:rPr>
        <w:t xml:space="preserve">laboración propia con base en datos del Índice Latinoamericano de Transparencia Legislativa, </w:t>
      </w:r>
      <w:r>
        <w:rPr>
          <w:rFonts w:ascii="Arial" w:hAnsi="Arial" w:cs="Arial"/>
          <w:sz w:val="20"/>
          <w:szCs w:val="20"/>
        </w:rPr>
        <w:t xml:space="preserve">Red Latinoamericana por la Transparencia, </w:t>
      </w:r>
      <w:r w:rsidRPr="00163C87">
        <w:rPr>
          <w:rFonts w:ascii="Arial" w:hAnsi="Arial" w:cs="Arial"/>
          <w:sz w:val="20"/>
          <w:szCs w:val="20"/>
        </w:rPr>
        <w:t>septiembre 2014.</w:t>
      </w:r>
      <w:r>
        <w:rPr>
          <w:rFonts w:ascii="Arial" w:hAnsi="Arial" w:cs="Arial"/>
          <w:sz w:val="20"/>
          <w:szCs w:val="20"/>
        </w:rPr>
        <w:t xml:space="preserve"> </w:t>
      </w:r>
    </w:p>
    <w:p w:rsidR="00B40618" w:rsidRPr="005E3AC9" w:rsidRDefault="00B40618" w:rsidP="005E3AC9">
      <w:pPr>
        <w:pStyle w:val="Cuerpo"/>
        <w:spacing w:before="120" w:after="120" w:line="360" w:lineRule="auto"/>
        <w:jc w:val="both"/>
        <w:rPr>
          <w:rFonts w:hAnsi="Times New Roman" w:cs="Times New Roman"/>
        </w:rPr>
      </w:pPr>
      <w:r w:rsidRPr="005E3AC9">
        <w:rPr>
          <w:rFonts w:hAnsi="Times New Roman" w:cs="Times New Roman"/>
        </w:rPr>
        <w:t xml:space="preserve">La implementación normativa depende del progreso de los diferentes Congresos en términos de adecuación de tecnologías, personal especializado y permanente, así como de la construcción de redes informáticas. Esta labor se ha iniciado en la región desde la década de los noventa del siglo pasado, posterior a las transiciones democráticas como un proceso de modernización a la que se ha sometido a los Congresos en dos sentidos: 1) </w:t>
      </w:r>
      <w:r w:rsidRPr="005E3AC9">
        <w:rPr>
          <w:rFonts w:hAnsi="Times New Roman" w:cs="Times New Roman"/>
          <w:lang w:val="es-ES"/>
        </w:rPr>
        <w:t xml:space="preserve">al </w:t>
      </w:r>
      <w:r w:rsidRPr="005E3AC9">
        <w:rPr>
          <w:rFonts w:hAnsi="Times New Roman" w:cs="Times New Roman"/>
        </w:rPr>
        <w:t xml:space="preserve">reducir la asimetría de información y conocimiento del Legislativo respecto del Ejecutivo cuando se trata de mejorar la rendición de cuentas horizontal y su capacidad de control y fiscalización gubernamental; y 2) en la construcción de redes informáticas que dan  acceso al control y a la participación ciudadana a fin de ampliar la inclusión de los representados en las decisiones legislativas, </w:t>
      </w:r>
    </w:p>
    <w:p w:rsidR="00B40618" w:rsidRPr="005E3AC9" w:rsidRDefault="005E3AC9" w:rsidP="005E3AC9">
      <w:pPr>
        <w:pStyle w:val="Cuerpo"/>
        <w:spacing w:before="120" w:after="120" w:line="360" w:lineRule="auto"/>
        <w:jc w:val="both"/>
        <w:rPr>
          <w:rFonts w:hAnsi="Times New Roman" w:cs="Times New Roman"/>
          <w:b/>
        </w:rPr>
      </w:pPr>
      <w:r>
        <w:rPr>
          <w:rFonts w:hAnsi="Times New Roman" w:cs="Times New Roman"/>
          <w:b/>
        </w:rPr>
        <w:t>Conclusión</w:t>
      </w:r>
    </w:p>
    <w:p w:rsidR="00B40618" w:rsidRDefault="00B40618" w:rsidP="005E3AC9">
      <w:pPr>
        <w:spacing w:line="360" w:lineRule="auto"/>
        <w:jc w:val="both"/>
        <w:rPr>
          <w:rFonts w:ascii="Arial" w:hAnsi="Arial" w:cs="Arial"/>
          <w:lang w:val="es-MX" w:bidi="si-LK"/>
        </w:rPr>
      </w:pPr>
      <w:r w:rsidRPr="005E3AC9">
        <w:rPr>
          <w:lang w:val="es-MX"/>
        </w:rPr>
        <w:t xml:space="preserve">De acuerdo con Alejandra Betanzo de la Rosa (2008), </w:t>
      </w:r>
      <w:r w:rsidRPr="005E3AC9">
        <w:rPr>
          <w:lang w:val="es-MX" w:bidi="si-LK"/>
        </w:rPr>
        <w:t>transparentar la</w:t>
      </w:r>
      <w:r w:rsidRPr="005E3AC9">
        <w:rPr>
          <w:lang w:val="es-MX"/>
        </w:rPr>
        <w:t xml:space="preserve"> </w:t>
      </w:r>
      <w:r w:rsidRPr="005E3AC9">
        <w:rPr>
          <w:lang w:val="es-MX" w:bidi="si-LK"/>
        </w:rPr>
        <w:t>toma de decisiones tiende a producir políticas que evitan el predominio</w:t>
      </w:r>
      <w:r w:rsidRPr="005E3AC9">
        <w:rPr>
          <w:lang w:val="es-MX"/>
        </w:rPr>
        <w:t xml:space="preserve"> </w:t>
      </w:r>
      <w:r w:rsidRPr="005E3AC9">
        <w:rPr>
          <w:lang w:val="es-MX" w:bidi="si-LK"/>
        </w:rPr>
        <w:t>de unos cuantos intereses por encima del resto. Por tanto, los</w:t>
      </w:r>
      <w:r w:rsidRPr="005E3AC9">
        <w:rPr>
          <w:lang w:val="es-MX"/>
        </w:rPr>
        <w:t xml:space="preserve"> </w:t>
      </w:r>
      <w:r w:rsidRPr="005E3AC9">
        <w:rPr>
          <w:lang w:val="es-MX" w:bidi="si-LK"/>
        </w:rPr>
        <w:t>arreglos institucionales inclusivos permiten la amplia participación de</w:t>
      </w:r>
      <w:r w:rsidRPr="005E3AC9">
        <w:rPr>
          <w:lang w:val="es-MX"/>
        </w:rPr>
        <w:t xml:space="preserve"> </w:t>
      </w:r>
      <w:r w:rsidRPr="005E3AC9">
        <w:rPr>
          <w:lang w:val="es-MX" w:bidi="si-LK"/>
        </w:rPr>
        <w:t>los actores interesados y abren la posibilidad de poner sobre la mesa</w:t>
      </w:r>
      <w:r w:rsidRPr="005E3AC9">
        <w:rPr>
          <w:lang w:val="es-MX"/>
        </w:rPr>
        <w:t xml:space="preserve"> </w:t>
      </w:r>
      <w:r w:rsidRPr="005E3AC9">
        <w:rPr>
          <w:lang w:val="es-MX" w:bidi="si-LK"/>
        </w:rPr>
        <w:t>una visión más completa de determinado problema, de contrastar ideas</w:t>
      </w:r>
      <w:r w:rsidRPr="005E3AC9">
        <w:rPr>
          <w:lang w:val="es-MX"/>
        </w:rPr>
        <w:t xml:space="preserve"> </w:t>
      </w:r>
      <w:r w:rsidRPr="005E3AC9">
        <w:rPr>
          <w:lang w:val="es-MX" w:bidi="si-LK"/>
        </w:rPr>
        <w:t>discordantes y de contar con información proveniente de fuentes plurales.</w:t>
      </w:r>
      <w:r w:rsidRPr="005E3AC9">
        <w:rPr>
          <w:lang w:val="es-MX"/>
        </w:rPr>
        <w:t xml:space="preserve"> Así</w:t>
      </w:r>
      <w:r w:rsidRPr="005E3AC9">
        <w:rPr>
          <w:lang w:val="es-MX" w:bidi="si-LK"/>
        </w:rPr>
        <w:t>, la existencia de mecanismos que permitan transparentar</w:t>
      </w:r>
      <w:r w:rsidRPr="005E3AC9">
        <w:rPr>
          <w:lang w:val="es-MX"/>
        </w:rPr>
        <w:t xml:space="preserve"> </w:t>
      </w:r>
      <w:r w:rsidRPr="005E3AC9">
        <w:rPr>
          <w:lang w:val="es-MX" w:bidi="si-LK"/>
        </w:rPr>
        <w:t>los procesos de toma de decisiones legislativas hace posible que todos</w:t>
      </w:r>
      <w:r w:rsidRPr="005E3AC9">
        <w:rPr>
          <w:lang w:val="es-MX"/>
        </w:rPr>
        <w:t xml:space="preserve"> </w:t>
      </w:r>
      <w:r w:rsidRPr="005E3AC9">
        <w:rPr>
          <w:lang w:val="es-MX" w:bidi="si-LK"/>
        </w:rPr>
        <w:t>los interesados puedan conocer no solo cómo se tomó la decisión, sino</w:t>
      </w:r>
      <w:r w:rsidRPr="005E3AC9">
        <w:rPr>
          <w:lang w:val="es-MX"/>
        </w:rPr>
        <w:t xml:space="preserve"> </w:t>
      </w:r>
      <w:r w:rsidRPr="005E3AC9">
        <w:rPr>
          <w:lang w:val="es-MX" w:bidi="si-LK"/>
        </w:rPr>
        <w:t xml:space="preserve">quiénes </w:t>
      </w:r>
      <w:r w:rsidRPr="005E3AC9">
        <w:rPr>
          <w:lang w:val="es-MX" w:bidi="si-LK"/>
        </w:rPr>
        <w:lastRenderedPageBreak/>
        <w:t>participaron y cuál fue la racionalidad e información técnica</w:t>
      </w:r>
      <w:r w:rsidRPr="005E3AC9">
        <w:rPr>
          <w:lang w:val="es-MX"/>
        </w:rPr>
        <w:t xml:space="preserve"> </w:t>
      </w:r>
      <w:r w:rsidRPr="005E3AC9">
        <w:rPr>
          <w:lang w:val="es-MX" w:bidi="si-LK"/>
        </w:rPr>
        <w:t>que la orientó.  Es decir, los instrumentos electrónicos y la tecnología adaptada a la representación permitirían que la responsabilidad parlamentaria, además de acercar y dar acceso a los ciudadanos, tengan la posibilidad de reforzar el desempeño de sus funciones de control, legislación, educación, fiscalización y comunicación legislativa.</w:t>
      </w:r>
    </w:p>
    <w:p w:rsidR="00B40618" w:rsidRDefault="00B40618" w:rsidP="00B40618">
      <w:pPr>
        <w:spacing w:line="360" w:lineRule="auto"/>
        <w:jc w:val="both"/>
        <w:rPr>
          <w:rFonts w:ascii="Arial" w:hAnsi="Arial" w:cs="Arial"/>
          <w:lang w:val="es-MX" w:bidi="si-LK"/>
        </w:rPr>
      </w:pPr>
    </w:p>
    <w:p w:rsidR="005E3AC9" w:rsidRDefault="005E3AC9" w:rsidP="00B40618">
      <w:pPr>
        <w:spacing w:line="360" w:lineRule="auto"/>
        <w:jc w:val="both"/>
        <w:rPr>
          <w:rFonts w:ascii="Arial" w:hAnsi="Arial" w:cs="Arial"/>
          <w:lang w:val="es-MX" w:bidi="si-LK"/>
        </w:rPr>
      </w:pPr>
    </w:p>
    <w:p w:rsidR="005E3AC9" w:rsidRDefault="005E3AC9" w:rsidP="00B40618">
      <w:pPr>
        <w:spacing w:line="360" w:lineRule="auto"/>
        <w:jc w:val="both"/>
        <w:rPr>
          <w:rFonts w:ascii="Arial" w:hAnsi="Arial" w:cs="Arial"/>
          <w:lang w:val="es-MX" w:bidi="si-LK"/>
        </w:rPr>
      </w:pPr>
    </w:p>
    <w:p w:rsidR="005E3AC9" w:rsidRDefault="005E3AC9" w:rsidP="00B40618">
      <w:pPr>
        <w:spacing w:line="360" w:lineRule="auto"/>
        <w:jc w:val="both"/>
        <w:rPr>
          <w:rFonts w:ascii="Arial" w:hAnsi="Arial" w:cs="Arial"/>
          <w:lang w:val="es-MX" w:bidi="si-LK"/>
        </w:rPr>
      </w:pPr>
    </w:p>
    <w:p w:rsidR="005E3AC9" w:rsidRDefault="005E3AC9" w:rsidP="00B40618">
      <w:pPr>
        <w:spacing w:line="360" w:lineRule="auto"/>
        <w:jc w:val="both"/>
        <w:rPr>
          <w:rFonts w:ascii="Arial" w:hAnsi="Arial" w:cs="Arial"/>
          <w:lang w:val="es-MX" w:bidi="si-LK"/>
        </w:rPr>
      </w:pPr>
    </w:p>
    <w:p w:rsidR="005E3AC9" w:rsidRDefault="005E3AC9" w:rsidP="00B40618">
      <w:pPr>
        <w:spacing w:line="360" w:lineRule="auto"/>
        <w:jc w:val="both"/>
        <w:rPr>
          <w:rFonts w:ascii="Arial" w:hAnsi="Arial" w:cs="Arial"/>
          <w:lang w:val="es-MX" w:bidi="si-LK"/>
        </w:rPr>
      </w:pPr>
    </w:p>
    <w:p w:rsidR="005E3AC9" w:rsidRDefault="005E3AC9" w:rsidP="00B40618">
      <w:pPr>
        <w:spacing w:line="360" w:lineRule="auto"/>
        <w:jc w:val="both"/>
        <w:rPr>
          <w:rFonts w:ascii="Arial" w:hAnsi="Arial" w:cs="Arial"/>
          <w:lang w:val="es-MX" w:bidi="si-LK"/>
        </w:rPr>
      </w:pPr>
    </w:p>
    <w:p w:rsidR="00B40618" w:rsidRPr="00B40618" w:rsidRDefault="00B40618" w:rsidP="00B40618">
      <w:pPr>
        <w:spacing w:line="360" w:lineRule="auto"/>
        <w:rPr>
          <w:rFonts w:ascii="Calibri" w:eastAsia="Calibri" w:hAnsi="Calibri" w:cs="Arial"/>
          <w:color w:val="7030A0"/>
          <w:sz w:val="28"/>
          <w:u w:color="000000"/>
          <w:lang w:val="es-ES_tradnl" w:eastAsia="es-ES_tradnl"/>
        </w:rPr>
      </w:pPr>
      <w:r w:rsidRPr="00B40618">
        <w:rPr>
          <w:rFonts w:ascii="Calibri" w:eastAsia="Calibri" w:hAnsi="Calibri" w:cs="Arial"/>
          <w:color w:val="7030A0"/>
          <w:sz w:val="28"/>
          <w:u w:color="000000"/>
          <w:lang w:val="es-ES_tradnl" w:eastAsia="es-ES_tradnl"/>
        </w:rPr>
        <w:t>Bibliografía</w:t>
      </w:r>
    </w:p>
    <w:p w:rsidR="00B40618" w:rsidRPr="00B40618" w:rsidRDefault="00B40618" w:rsidP="00B40618">
      <w:pPr>
        <w:pStyle w:val="Textoindependiente"/>
        <w:spacing w:before="100" w:beforeAutospacing="1" w:after="100" w:afterAutospacing="1" w:line="276" w:lineRule="auto"/>
        <w:ind w:left="567" w:hanging="567"/>
        <w:jc w:val="both"/>
        <w:rPr>
          <w:lang w:val="es-ES_tradnl"/>
        </w:rPr>
      </w:pPr>
      <w:r w:rsidRPr="00B40618">
        <w:rPr>
          <w:lang w:val="es-ES_tradnl"/>
        </w:rPr>
        <w:t xml:space="preserve">Ackerman, John M. (2004). “Sinergia, Estado-Sociedad en pro de la rendición de cuentas: lecciones para el Banco Mundial”. </w:t>
      </w:r>
      <w:r w:rsidRPr="00B40618">
        <w:rPr>
          <w:i/>
          <w:lang w:val="es-ES_tradnl"/>
        </w:rPr>
        <w:t>Documento de Trabajo del Banco Mundial</w:t>
      </w:r>
      <w:r w:rsidRPr="00B40618">
        <w:rPr>
          <w:lang w:val="es-ES_tradnl"/>
        </w:rPr>
        <w:t xml:space="preserve"> No 31.</w:t>
      </w:r>
    </w:p>
    <w:p w:rsidR="00B40618" w:rsidRPr="00B40618" w:rsidRDefault="00B40618" w:rsidP="00B40618">
      <w:pPr>
        <w:pStyle w:val="Textoindependiente"/>
        <w:spacing w:before="100" w:beforeAutospacing="1" w:after="100" w:afterAutospacing="1" w:line="276" w:lineRule="auto"/>
        <w:ind w:left="567" w:hanging="567"/>
        <w:jc w:val="both"/>
        <w:rPr>
          <w:lang w:val="es-ES_tradnl"/>
        </w:rPr>
      </w:pPr>
      <w:r w:rsidRPr="00B40618">
        <w:rPr>
          <w:lang w:val="es-ES_tradnl"/>
        </w:rPr>
        <w:t>Alcántara Manuel, García Montero, Sánchez López (2005). Funciones, procedimientos y escenarios: un análisis del poder legislativo en América Latina, Salamanca, España, Ediciones Universidad de Salamanca.</w:t>
      </w:r>
    </w:p>
    <w:p w:rsidR="00B40618" w:rsidRPr="00B40618" w:rsidRDefault="00B40618" w:rsidP="00B40618">
      <w:pPr>
        <w:pStyle w:val="Textoindependiente"/>
        <w:spacing w:before="100" w:beforeAutospacing="1" w:after="100" w:afterAutospacing="1" w:line="276" w:lineRule="auto"/>
        <w:ind w:left="567" w:hanging="567"/>
        <w:jc w:val="both"/>
        <w:rPr>
          <w:lang w:val="es-ES_tradnl"/>
        </w:rPr>
      </w:pPr>
      <w:r w:rsidRPr="00B40618">
        <w:rPr>
          <w:lang w:val="es-ES_tradnl"/>
        </w:rPr>
        <w:t>Ampuero, Hernán (2005). “Administración y Modernización Parlamentaria”, en Estado, Gobierno, Gestión Pública, Revista Chilena de Administración Pública, vol. II, número 5, pp. 89-95.</w:t>
      </w:r>
    </w:p>
    <w:p w:rsidR="00B40618" w:rsidRPr="00B40618" w:rsidRDefault="00B40618" w:rsidP="00B40618">
      <w:pPr>
        <w:pStyle w:val="Textoindependiente"/>
        <w:spacing w:before="100" w:beforeAutospacing="1" w:after="100" w:afterAutospacing="1" w:line="276" w:lineRule="auto"/>
        <w:ind w:left="567" w:hanging="567"/>
        <w:jc w:val="both"/>
        <w:rPr>
          <w:lang w:val="es-ES_tradnl"/>
        </w:rPr>
      </w:pPr>
      <w:r w:rsidRPr="00B40618">
        <w:rPr>
          <w:lang w:val="es-ES_tradnl"/>
        </w:rPr>
        <w:t>Alexy, Robert (2006). “Los derechos fundamentales en el Estado Constitucional Democrático”, en Carbonell, Miguel, Neoconstitucionalismo(s), Editorial Trotta, Madrid, pp. 31-48.</w:t>
      </w:r>
    </w:p>
    <w:p w:rsidR="00B40618" w:rsidRPr="00B40618" w:rsidRDefault="00B40618" w:rsidP="00B40618">
      <w:pPr>
        <w:pStyle w:val="Textoindependiente"/>
        <w:spacing w:before="100" w:beforeAutospacing="1" w:after="100" w:afterAutospacing="1" w:line="276" w:lineRule="auto"/>
        <w:ind w:left="567" w:hanging="567"/>
        <w:jc w:val="both"/>
        <w:rPr>
          <w:lang w:val="es-ES_tradnl"/>
        </w:rPr>
      </w:pPr>
      <w:r w:rsidRPr="00B40618">
        <w:rPr>
          <w:lang w:val="es-ES_tradnl"/>
        </w:rPr>
        <w:t>Bellver, Ana y Kaufmann, Daniel (2005). “Transparenting Transparency”, World Bank Policy Research Working Paper (draft), September.</w:t>
      </w:r>
    </w:p>
    <w:p w:rsidR="00B40618" w:rsidRPr="00B40618" w:rsidRDefault="00B40618" w:rsidP="00B40618">
      <w:pPr>
        <w:pStyle w:val="Textoindependiente"/>
        <w:spacing w:before="100" w:beforeAutospacing="1" w:after="100" w:afterAutospacing="1" w:line="276" w:lineRule="auto"/>
        <w:ind w:left="567" w:hanging="567"/>
        <w:jc w:val="both"/>
        <w:rPr>
          <w:lang w:val="es-ES_tradnl"/>
        </w:rPr>
      </w:pPr>
      <w:r w:rsidRPr="00B40618">
        <w:rPr>
          <w:lang w:val="es-ES_tradnl"/>
        </w:rPr>
        <w:t>Betanzo de la Rosa, Alejandro (2008). “¿Por qué transparentar las actividades de cabildeo? El caso del presupuesto de egresos de la Ciudad de México, en Colección de Ensayos para la transparencia de la Ciudad de México, InfoDF, México.</w:t>
      </w:r>
    </w:p>
    <w:p w:rsidR="00B40618" w:rsidRPr="00B40618" w:rsidRDefault="00B40618" w:rsidP="00B40618">
      <w:pPr>
        <w:pStyle w:val="Textoindependiente"/>
        <w:spacing w:before="100" w:beforeAutospacing="1" w:after="100" w:afterAutospacing="1" w:line="276" w:lineRule="auto"/>
        <w:ind w:left="567" w:hanging="567"/>
        <w:jc w:val="both"/>
        <w:rPr>
          <w:lang w:val="es-ES_tradnl"/>
        </w:rPr>
      </w:pPr>
      <w:r w:rsidRPr="00B40618">
        <w:rPr>
          <w:lang w:val="es-ES_tradnl"/>
        </w:rPr>
        <w:lastRenderedPageBreak/>
        <w:t>Campos, Emma (2003). “Un Congreso sin congresistas. La no reelección consecutiva en el poder legislativo mexicano: 1934-1997” en Dworak (coord.) El Legislador a examen. El debate sobre la reelección legislativa en México, FCE/Cámara de Diputados, México, pp. 98-154.</w:t>
      </w:r>
    </w:p>
    <w:p w:rsidR="00B40618" w:rsidRPr="00B40618" w:rsidRDefault="00B40618" w:rsidP="00B40618">
      <w:pPr>
        <w:pStyle w:val="Textoindependiente"/>
        <w:spacing w:before="100" w:beforeAutospacing="1" w:after="100" w:afterAutospacing="1" w:line="276" w:lineRule="auto"/>
        <w:ind w:left="567" w:hanging="567"/>
        <w:jc w:val="both"/>
        <w:rPr>
          <w:lang w:val="es-ES_tradnl"/>
        </w:rPr>
      </w:pPr>
      <w:r w:rsidRPr="00B40618">
        <w:rPr>
          <w:lang w:val="es-ES_tradnl"/>
        </w:rPr>
        <w:t>Carey, John (2006). Límites a la reelección y representación legislativa, ed. CIDE, México.</w:t>
      </w:r>
    </w:p>
    <w:p w:rsidR="00B40618" w:rsidRPr="00B40618" w:rsidRDefault="00B40618" w:rsidP="00B40618">
      <w:pPr>
        <w:pStyle w:val="Textoindependiente"/>
        <w:spacing w:before="100" w:beforeAutospacing="1" w:after="100" w:afterAutospacing="1" w:line="276" w:lineRule="auto"/>
        <w:ind w:left="567" w:hanging="567"/>
        <w:jc w:val="both"/>
        <w:rPr>
          <w:lang w:val="es-ES_tradnl"/>
        </w:rPr>
      </w:pPr>
      <w:r w:rsidRPr="00B40618">
        <w:rPr>
          <w:lang w:val="es-ES_tradnl"/>
        </w:rPr>
        <w:t>Casar María, Marván María y Puente Khemvirg (2010). “La rendición de cuentas y el Poder Legislativo”, en Mauricio Merino, Sergio López y Guillermo Cejudo (coords.) La estructura de la rendición de cuentas en México, México: Instituto de Investigaciones Jurídicas-CIDE, pp. 331-405.</w:t>
      </w:r>
    </w:p>
    <w:p w:rsidR="00B40618" w:rsidRPr="00B40618" w:rsidRDefault="00B40618" w:rsidP="00B40618">
      <w:pPr>
        <w:pStyle w:val="Textoindependiente"/>
        <w:spacing w:before="100" w:beforeAutospacing="1" w:after="100" w:afterAutospacing="1" w:line="276" w:lineRule="auto"/>
        <w:ind w:left="567" w:hanging="567"/>
        <w:jc w:val="both"/>
        <w:rPr>
          <w:lang w:val="es-ES_tradnl"/>
        </w:rPr>
      </w:pPr>
      <w:r w:rsidRPr="00B40618">
        <w:rPr>
          <w:lang w:val="es-ES_tradnl"/>
        </w:rPr>
        <w:t>Cunill, Nuria (2007). “La rendición de cuentas y el control social. Una aproximación conceptual” en Conference Paper CLAD, Seminario Internacional Ciudadanos y Derechos. Protección de programas sociales y construcción ciudadana, 25-27 de abril.</w:t>
      </w:r>
    </w:p>
    <w:p w:rsidR="00B40618" w:rsidRPr="00B40618" w:rsidRDefault="00B40618" w:rsidP="00B40618">
      <w:pPr>
        <w:pStyle w:val="Textoindependiente"/>
        <w:spacing w:before="100" w:beforeAutospacing="1" w:after="100" w:afterAutospacing="1" w:line="276" w:lineRule="auto"/>
        <w:ind w:left="567" w:hanging="567"/>
        <w:jc w:val="both"/>
        <w:rPr>
          <w:lang w:val="es-ES_tradnl"/>
        </w:rPr>
      </w:pPr>
      <w:r w:rsidRPr="00B40618">
        <w:rPr>
          <w:lang w:val="es-ES_tradnl"/>
        </w:rPr>
        <w:t>Dworak, Fernando (2003). “La limitación del mandato legislativo: Una perspectiva comparada”, en Dworak (coord.) El Legislador a examen. El debate sobre la reelección legislativa en México, FCE/Cámara de Diputados, México, pp. 155-205.</w:t>
      </w:r>
    </w:p>
    <w:p w:rsidR="00B40618" w:rsidRPr="00B40618" w:rsidRDefault="00B40618" w:rsidP="00B40618">
      <w:pPr>
        <w:pStyle w:val="Textoindependiente"/>
        <w:spacing w:before="100" w:beforeAutospacing="1" w:after="100" w:afterAutospacing="1" w:line="276" w:lineRule="auto"/>
        <w:ind w:left="567" w:hanging="567"/>
        <w:jc w:val="both"/>
        <w:rPr>
          <w:lang w:val="es-ES_tradnl"/>
        </w:rPr>
      </w:pPr>
      <w:r w:rsidRPr="00B40618">
        <w:rPr>
          <w:lang w:val="es-ES_tradnl"/>
        </w:rPr>
        <w:t>Elice, Navarro (2010). “La Modernización Parlamentaria en América Latina”, en Reflexión Democrática, Lima, pp. 1-7.</w:t>
      </w:r>
    </w:p>
    <w:p w:rsidR="00B40618" w:rsidRPr="00B40618" w:rsidRDefault="00B40618" w:rsidP="00B40618">
      <w:pPr>
        <w:pStyle w:val="Textoindependiente"/>
        <w:spacing w:before="100" w:beforeAutospacing="1" w:after="100" w:afterAutospacing="1" w:line="276" w:lineRule="auto"/>
        <w:ind w:left="567" w:hanging="567"/>
        <w:jc w:val="both"/>
        <w:rPr>
          <w:lang w:val="es-ES_tradnl"/>
        </w:rPr>
      </w:pPr>
      <w:r w:rsidRPr="00B40618">
        <w:rPr>
          <w:lang w:val="es-ES_tradnl"/>
        </w:rPr>
        <w:t>Jones, Mark (2002). “Explaning the High Level of party discipline in the Argentine Congress”, en Morgenstern y Nacif /eds.) Legislative Politics in Latin America, Universidad de Cambridge, Cambridge.</w:t>
      </w:r>
    </w:p>
    <w:p w:rsidR="00B40618" w:rsidRPr="00B40618" w:rsidRDefault="00B40618" w:rsidP="00B40618">
      <w:pPr>
        <w:pStyle w:val="Textoindependiente"/>
        <w:spacing w:before="100" w:beforeAutospacing="1" w:after="100" w:afterAutospacing="1" w:line="276" w:lineRule="auto"/>
        <w:ind w:left="567" w:hanging="567"/>
        <w:jc w:val="both"/>
        <w:rPr>
          <w:lang w:val="es-ES_tradnl"/>
        </w:rPr>
      </w:pPr>
      <w:r w:rsidRPr="00B40618">
        <w:rPr>
          <w:lang w:val="es-ES_tradnl"/>
        </w:rPr>
        <w:t>Mezey, Michael L. (1995). “La legislatura, el poder ejecutivo y las políticas públicas. La inútil búsqueda de poder para el Congreso”, en Thurber James (comp.) La democracia dividida. Cooperación y conflicto entre el presidente y el Congreso, Argentina, editorial Heliasta, pp. 121-146.</w:t>
      </w:r>
    </w:p>
    <w:p w:rsidR="00B40618" w:rsidRPr="00B40618" w:rsidRDefault="00B40618" w:rsidP="00B40618">
      <w:pPr>
        <w:pStyle w:val="Textoindependiente"/>
        <w:spacing w:before="100" w:beforeAutospacing="1" w:after="100" w:afterAutospacing="1" w:line="276" w:lineRule="auto"/>
        <w:ind w:left="567" w:hanging="567"/>
        <w:jc w:val="both"/>
        <w:rPr>
          <w:lang w:val="es-ES_tradnl"/>
        </w:rPr>
      </w:pPr>
      <w:r w:rsidRPr="00B40618">
        <w:rPr>
          <w:lang w:val="es-ES_tradnl"/>
        </w:rPr>
        <w:t>Negretto, G. L. (2009). “Paradojas de la reforma constitucional en América Latina”. Journal of Democracy en Español, Vol. I , 38-54.</w:t>
      </w:r>
    </w:p>
    <w:p w:rsidR="00B40618" w:rsidRPr="00B40618" w:rsidRDefault="00B40618" w:rsidP="00B40618">
      <w:pPr>
        <w:pStyle w:val="Textoindependiente"/>
        <w:spacing w:before="100" w:beforeAutospacing="1" w:after="100" w:afterAutospacing="1" w:line="276" w:lineRule="auto"/>
        <w:ind w:left="567" w:hanging="567"/>
        <w:jc w:val="both"/>
        <w:rPr>
          <w:lang w:val="es-ES_tradnl"/>
        </w:rPr>
      </w:pPr>
      <w:r w:rsidRPr="00B40618">
        <w:rPr>
          <w:lang w:val="es-ES_tradnl"/>
        </w:rPr>
        <w:t>Nino, Carlos Santiago (2003). La Constitución de la Democracia Deliberativa,  Gedisa, Barcelona.</w:t>
      </w:r>
    </w:p>
    <w:p w:rsidR="00B40618" w:rsidRPr="00B40618" w:rsidRDefault="00B40618" w:rsidP="00B40618">
      <w:pPr>
        <w:pStyle w:val="Textoindependiente"/>
        <w:spacing w:before="100" w:beforeAutospacing="1" w:after="100" w:afterAutospacing="1" w:line="276" w:lineRule="auto"/>
        <w:ind w:left="567" w:hanging="567"/>
        <w:jc w:val="both"/>
        <w:rPr>
          <w:lang w:val="es-ES_tradnl"/>
        </w:rPr>
      </w:pPr>
      <w:r w:rsidRPr="00B40618">
        <w:rPr>
          <w:lang w:val="es-ES_tradnl"/>
        </w:rPr>
        <w:t>O´Donnell, Guillermo (1998). Accountability horizontal, en Revista Ágora, número 8, México.</w:t>
      </w:r>
    </w:p>
    <w:p w:rsidR="00B40618" w:rsidRPr="00B40618" w:rsidRDefault="00B40618" w:rsidP="00B40618">
      <w:pPr>
        <w:pStyle w:val="Textoindependiente"/>
        <w:spacing w:before="100" w:beforeAutospacing="1" w:after="100" w:afterAutospacing="1" w:line="276" w:lineRule="auto"/>
        <w:ind w:left="567" w:hanging="567"/>
        <w:jc w:val="both"/>
        <w:rPr>
          <w:lang w:val="es-ES_tradnl"/>
        </w:rPr>
      </w:pPr>
      <w:r w:rsidRPr="00B40618">
        <w:rPr>
          <w:lang w:val="es-ES_tradnl"/>
        </w:rPr>
        <w:lastRenderedPageBreak/>
        <w:t>O´ Donnell, Guillermo (2004). “Accountability horizontal: la institucionalización legal de la desconfianza política”, Revista Española de Ciencia Política, número 11, pp. 11-31.</w:t>
      </w:r>
    </w:p>
    <w:p w:rsidR="00B40618" w:rsidRPr="00B40618" w:rsidRDefault="00B40618" w:rsidP="00B40618">
      <w:pPr>
        <w:pStyle w:val="Textoindependiente"/>
        <w:spacing w:before="100" w:beforeAutospacing="1" w:after="100" w:afterAutospacing="1" w:line="276" w:lineRule="auto"/>
        <w:ind w:left="567" w:hanging="567"/>
        <w:jc w:val="both"/>
        <w:rPr>
          <w:lang w:val="es-ES_tradnl"/>
        </w:rPr>
      </w:pPr>
      <w:r w:rsidRPr="00B40618">
        <w:rPr>
          <w:lang w:val="es-ES_tradnl"/>
        </w:rPr>
        <w:t>O´Donnell, Guillermo (2007). “Hacia un Estado de y para la democracia” en PNUD Democracia, Estado, Ciudadanía, Lima Perú, pp. 25-64.</w:t>
      </w:r>
    </w:p>
    <w:p w:rsidR="00B40618" w:rsidRPr="00B40618" w:rsidRDefault="00B40618" w:rsidP="00B40618">
      <w:pPr>
        <w:pStyle w:val="Textoindependiente"/>
        <w:spacing w:before="100" w:beforeAutospacing="1" w:after="100" w:afterAutospacing="1" w:line="276" w:lineRule="auto"/>
        <w:ind w:left="567" w:hanging="567"/>
        <w:jc w:val="both"/>
        <w:rPr>
          <w:lang w:val="es-ES_tradnl"/>
        </w:rPr>
      </w:pPr>
      <w:r w:rsidRPr="00B40618">
        <w:rPr>
          <w:lang w:val="es-ES_tradnl"/>
        </w:rPr>
        <w:t>Payne Mark, Zovatto Daniel, Carrillo Flórez y Allmand Zavala (2003). La política importa. Democracia y desarrollo en América Latina, Washington, D.C. Banco Interamericano de Desarrollo/ Instituto Internacional para la Democracia y Asistencia Electoral.</w:t>
      </w:r>
    </w:p>
    <w:p w:rsidR="00B40618" w:rsidRPr="00B40618" w:rsidRDefault="00B40618" w:rsidP="00B40618">
      <w:pPr>
        <w:pStyle w:val="Textoindependiente"/>
        <w:spacing w:before="100" w:beforeAutospacing="1" w:after="100" w:afterAutospacing="1" w:line="276" w:lineRule="auto"/>
        <w:ind w:left="567" w:hanging="567"/>
        <w:jc w:val="both"/>
        <w:rPr>
          <w:lang w:val="es-ES_tradnl"/>
        </w:rPr>
      </w:pPr>
      <w:r w:rsidRPr="00B40618">
        <w:rPr>
          <w:lang w:val="es-ES_tradnl"/>
        </w:rPr>
        <w:t>PNUD/Unión Interparlamentaria (2012). Informe Parlamentario Mundial. La naturaleza cambiante de la representación parlamentaria, PNUD/Unión Interparlamentaria, Dinamarca.</w:t>
      </w:r>
    </w:p>
    <w:p w:rsidR="00B40618" w:rsidRPr="00B40618" w:rsidRDefault="00B40618" w:rsidP="00B40618">
      <w:pPr>
        <w:pStyle w:val="Textoindependiente"/>
        <w:spacing w:before="100" w:beforeAutospacing="1" w:after="100" w:afterAutospacing="1" w:line="276" w:lineRule="auto"/>
        <w:ind w:left="567" w:hanging="567"/>
        <w:jc w:val="both"/>
        <w:rPr>
          <w:lang w:val="es-ES_tradnl"/>
        </w:rPr>
      </w:pPr>
      <w:r w:rsidRPr="00B40618">
        <w:rPr>
          <w:lang w:val="es-ES_tradnl"/>
        </w:rPr>
        <w:t>Przeworski, Adam (1998). “Democracia y representación”, Revista CLAD Reforma y Democracia, febrero.</w:t>
      </w:r>
    </w:p>
    <w:p w:rsidR="00B40618" w:rsidRPr="00B40618" w:rsidRDefault="00B40618" w:rsidP="00B40618">
      <w:pPr>
        <w:pStyle w:val="Textoindependiente"/>
        <w:spacing w:before="100" w:beforeAutospacing="1" w:after="100" w:afterAutospacing="1" w:line="276" w:lineRule="auto"/>
        <w:ind w:left="567" w:hanging="567"/>
        <w:jc w:val="both"/>
        <w:rPr>
          <w:lang w:val="es-ES_tradnl"/>
        </w:rPr>
      </w:pPr>
      <w:r w:rsidRPr="00B40618">
        <w:rPr>
          <w:lang w:val="es-ES_tradnl"/>
        </w:rPr>
        <w:t>Red Latinoamericana por la Transparencia Legislativa (2014). Índice Latinoamericano de transparencia legislativa, septiembre.</w:t>
      </w:r>
    </w:p>
    <w:p w:rsidR="00B40618" w:rsidRPr="00B40618" w:rsidRDefault="00B40618" w:rsidP="00B40618">
      <w:pPr>
        <w:pStyle w:val="Textoindependiente"/>
        <w:spacing w:before="100" w:beforeAutospacing="1" w:after="100" w:afterAutospacing="1" w:line="276" w:lineRule="auto"/>
        <w:ind w:left="567" w:hanging="567"/>
        <w:jc w:val="both"/>
        <w:rPr>
          <w:lang w:val="es-ES_tradnl"/>
        </w:rPr>
      </w:pPr>
      <w:r w:rsidRPr="00B40618">
        <w:rPr>
          <w:lang w:val="es-ES_tradnl"/>
        </w:rPr>
        <w:t>Reniu Vilamala, Josep M. (2008). “Los gobiernos de coalición en los sistemas presidenciales de Latinoamérica: elementos para el debate”. En CIDOB,  número 25, Junio, Barcelona.</w:t>
      </w:r>
    </w:p>
    <w:p w:rsidR="00B40618" w:rsidRPr="00B40618" w:rsidRDefault="00B40618" w:rsidP="00B40618">
      <w:pPr>
        <w:pStyle w:val="Textoindependiente"/>
        <w:spacing w:before="100" w:beforeAutospacing="1" w:after="100" w:afterAutospacing="1" w:line="276" w:lineRule="auto"/>
        <w:ind w:left="567" w:hanging="567"/>
        <w:jc w:val="both"/>
        <w:rPr>
          <w:lang w:val="es-ES_tradnl"/>
        </w:rPr>
      </w:pPr>
      <w:r w:rsidRPr="00B40618">
        <w:rPr>
          <w:lang w:val="es-ES_tradnl"/>
        </w:rPr>
        <w:t>Reniu Josep M. y Albala, Adrián (2011). “Los gobiernos de coalición y su incidencia sobre los presidencialismos latinoamericanos: el caso del Cono Sur” en Working papers 296, Institut de Ciències Politiqes i Socials, Universitat Autónoma de Barcelona.</w:t>
      </w:r>
    </w:p>
    <w:p w:rsidR="00B40618" w:rsidRPr="00B40618" w:rsidRDefault="00B40618" w:rsidP="00B40618">
      <w:pPr>
        <w:pStyle w:val="Textoindependiente"/>
        <w:spacing w:before="100" w:beforeAutospacing="1" w:after="100" w:afterAutospacing="1" w:line="276" w:lineRule="auto"/>
        <w:ind w:left="567" w:hanging="567"/>
        <w:jc w:val="both"/>
        <w:rPr>
          <w:lang w:val="es-ES_tradnl"/>
        </w:rPr>
      </w:pPr>
      <w:r w:rsidRPr="00B40618">
        <w:rPr>
          <w:lang w:val="es-ES_tradnl"/>
        </w:rPr>
        <w:t>Sánchez de Dios, Manuel (1995). “La esencia del régimen: el control parlamentario del Gobierno”, en Política y Sociedad, núm. 20, Madrid.</w:t>
      </w:r>
    </w:p>
    <w:p w:rsidR="00B40618" w:rsidRPr="00B40618" w:rsidRDefault="00B40618" w:rsidP="00B40618">
      <w:pPr>
        <w:pStyle w:val="Textoindependiente"/>
        <w:spacing w:before="100" w:beforeAutospacing="1" w:after="100" w:afterAutospacing="1" w:line="276" w:lineRule="auto"/>
        <w:ind w:left="567" w:hanging="567"/>
        <w:jc w:val="both"/>
        <w:rPr>
          <w:lang w:val="es-ES_tradnl"/>
        </w:rPr>
      </w:pPr>
      <w:r w:rsidRPr="00B40618">
        <w:rPr>
          <w:lang w:val="es-ES_tradnl"/>
        </w:rPr>
        <w:t>Shugart, Matthew, S. (2000). “The electoral cycle and institutional sources of divided presidential government”, American Political Science Review, 82 (2), 327-343.</w:t>
      </w:r>
    </w:p>
    <w:p w:rsidR="00B40618" w:rsidRPr="00B40618" w:rsidRDefault="00B40618" w:rsidP="00B40618">
      <w:pPr>
        <w:pStyle w:val="Textoindependiente"/>
        <w:spacing w:before="100" w:beforeAutospacing="1" w:after="100" w:afterAutospacing="1" w:line="276" w:lineRule="auto"/>
        <w:ind w:left="567" w:hanging="567"/>
        <w:jc w:val="both"/>
        <w:rPr>
          <w:lang w:val="es-ES_tradnl"/>
        </w:rPr>
      </w:pPr>
      <w:r w:rsidRPr="00B40618">
        <w:rPr>
          <w:lang w:val="es-ES_tradnl"/>
        </w:rPr>
        <w:t>Schedler, Andreas (coord.) (1999). The self-restratining state. Power and accountability in new democracies, Editorial Lynne Rienner, Reino Unido.</w:t>
      </w:r>
    </w:p>
    <w:p w:rsidR="00B40618" w:rsidRPr="00B40618" w:rsidRDefault="00B40618" w:rsidP="00B40618">
      <w:pPr>
        <w:pStyle w:val="Textoindependiente"/>
        <w:spacing w:before="100" w:beforeAutospacing="1" w:after="100" w:afterAutospacing="1" w:line="276" w:lineRule="auto"/>
        <w:ind w:left="567" w:hanging="567"/>
        <w:jc w:val="both"/>
        <w:rPr>
          <w:lang w:val="es-ES_tradnl"/>
        </w:rPr>
      </w:pPr>
      <w:r w:rsidRPr="00B40618">
        <w:rPr>
          <w:lang w:val="es-ES_tradnl"/>
        </w:rPr>
        <w:t>Smulovitz, Catalina (2001). “Judialización y Accountability social en Argentina”, Trabajo presentado en el XXII International Conference de la Latin American Studies, Association, Washington, D.C. Septiembre.</w:t>
      </w:r>
    </w:p>
    <w:p w:rsidR="00B40618" w:rsidRPr="00B40618" w:rsidRDefault="00B40618" w:rsidP="00B40618">
      <w:pPr>
        <w:pStyle w:val="Textoindependiente"/>
        <w:spacing w:before="100" w:beforeAutospacing="1" w:after="100" w:afterAutospacing="1" w:line="276" w:lineRule="auto"/>
        <w:ind w:left="567" w:hanging="567"/>
        <w:jc w:val="both"/>
        <w:rPr>
          <w:lang w:val="es-ES_tradnl"/>
        </w:rPr>
      </w:pPr>
      <w:r w:rsidRPr="00B40618">
        <w:rPr>
          <w:lang w:val="es-ES_tradnl"/>
        </w:rPr>
        <w:lastRenderedPageBreak/>
        <w:t>Valadés, Diego (2003). El gobierno de Gabinete UNAM/IIJ, México.</w:t>
      </w:r>
    </w:p>
    <w:p w:rsidR="00B40618" w:rsidRPr="00B40618" w:rsidRDefault="00B40618" w:rsidP="00B40618">
      <w:pPr>
        <w:pStyle w:val="Textoindependiente"/>
        <w:spacing w:before="100" w:beforeAutospacing="1" w:after="100" w:afterAutospacing="1" w:line="276" w:lineRule="auto"/>
        <w:ind w:left="567" w:hanging="567"/>
        <w:jc w:val="both"/>
        <w:rPr>
          <w:lang w:val="es-ES_tradnl"/>
        </w:rPr>
      </w:pPr>
      <w:r w:rsidRPr="00B40618">
        <w:rPr>
          <w:lang w:val="es-ES_tradnl"/>
        </w:rPr>
        <w:t>Transparencia A.C. (2013). Buenas Prácticas Parlamentarias en América Latina, Transparencia A.C. Lima.</w:t>
      </w:r>
    </w:p>
    <w:p w:rsidR="00005C7F" w:rsidRDefault="00005C7F"/>
    <w:sectPr w:rsidR="00005C7F" w:rsidSect="004C7762">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0D9" w:rsidRDefault="009340D9" w:rsidP="00B40618">
      <w:r>
        <w:separator/>
      </w:r>
    </w:p>
  </w:endnote>
  <w:endnote w:type="continuationSeparator" w:id="0">
    <w:p w:rsidR="009340D9" w:rsidRDefault="009340D9" w:rsidP="00B4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134257255"/>
      <w:docPartObj>
        <w:docPartGallery w:val="Page Numbers (Bottom of Page)"/>
        <w:docPartUnique/>
      </w:docPartObj>
    </w:sdtPr>
    <w:sdtEndPr>
      <w:rPr>
        <w:rFonts w:ascii="Calibri" w:hAnsi="Calibri" w:cs="Calibri"/>
        <w:b/>
        <w:sz w:val="22"/>
      </w:rPr>
    </w:sdtEndPr>
    <w:sdtContent>
      <w:p w:rsidR="00B40618" w:rsidRPr="00B40618" w:rsidRDefault="00B40618" w:rsidP="00B40618">
        <w:pPr>
          <w:pStyle w:val="Piedepgina"/>
          <w:jc w:val="center"/>
          <w:rPr>
            <w:rFonts w:ascii="Calibri" w:hAnsi="Calibri" w:cs="Calibri"/>
            <w:b/>
            <w:sz w:val="22"/>
          </w:rPr>
        </w:pPr>
        <w:r w:rsidRPr="00B40618">
          <w:rPr>
            <w:rFonts w:ascii="Calibri" w:hAnsi="Calibri" w:cs="Calibri"/>
            <w:b/>
            <w:sz w:val="22"/>
          </w:rPr>
          <w:t>Vol. 5, Núm. 10                   Julio - Diciembre 2016                           RICSH</w:t>
        </w:r>
      </w:p>
    </w:sdtContent>
  </w:sdt>
  <w:p w:rsidR="00B40618" w:rsidRDefault="00B406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0D9" w:rsidRDefault="009340D9" w:rsidP="00B40618">
      <w:r>
        <w:separator/>
      </w:r>
    </w:p>
  </w:footnote>
  <w:footnote w:type="continuationSeparator" w:id="0">
    <w:p w:rsidR="009340D9" w:rsidRDefault="009340D9" w:rsidP="00B40618">
      <w:r>
        <w:continuationSeparator/>
      </w:r>
    </w:p>
  </w:footnote>
  <w:footnote w:id="1">
    <w:p w:rsidR="00B40618" w:rsidRPr="00F528E6" w:rsidRDefault="00B40618" w:rsidP="00B40618">
      <w:pPr>
        <w:pStyle w:val="Textonotapie"/>
        <w:jc w:val="both"/>
        <w:rPr>
          <w:rFonts w:ascii="Arial" w:hAnsi="Arial" w:cs="Arial"/>
        </w:rPr>
      </w:pPr>
      <w:r w:rsidRPr="00F528E6">
        <w:rPr>
          <w:rStyle w:val="Refdenotaalpie"/>
          <w:rFonts w:ascii="Arial" w:hAnsi="Arial" w:cs="Arial"/>
        </w:rPr>
        <w:footnoteRef/>
      </w:r>
      <w:r w:rsidRPr="00F528E6">
        <w:rPr>
          <w:rFonts w:ascii="Arial" w:hAnsi="Arial" w:cs="Arial"/>
        </w:rPr>
        <w:t xml:space="preserve"> En e</w:t>
      </w:r>
      <w:r>
        <w:rPr>
          <w:rFonts w:ascii="Arial" w:hAnsi="Arial" w:cs="Arial"/>
        </w:rPr>
        <w:t>ste</w:t>
      </w:r>
      <w:r w:rsidRPr="00F528E6">
        <w:rPr>
          <w:rFonts w:ascii="Arial" w:hAnsi="Arial" w:cs="Arial"/>
        </w:rPr>
        <w:t xml:space="preserve"> mismo sentido podemos relacionar la desconfianza de los ciudadanos latinoamericanos con sus parlamentos y su percepción sobre la representación</w:t>
      </w:r>
      <w:r>
        <w:rPr>
          <w:rFonts w:ascii="Arial" w:hAnsi="Arial" w:cs="Arial"/>
        </w:rPr>
        <w:t>. E</w:t>
      </w:r>
      <w:r w:rsidRPr="00F528E6">
        <w:rPr>
          <w:rFonts w:ascii="Arial" w:hAnsi="Arial" w:cs="Arial"/>
        </w:rPr>
        <w:t xml:space="preserve">n el informe </w:t>
      </w:r>
      <w:r>
        <w:rPr>
          <w:rFonts w:ascii="Arial" w:hAnsi="Arial" w:cs="Arial"/>
        </w:rPr>
        <w:t xml:space="preserve">respondieron a </w:t>
      </w:r>
      <w:r w:rsidRPr="00F528E6">
        <w:rPr>
          <w:rFonts w:ascii="Arial" w:hAnsi="Arial" w:cs="Arial"/>
        </w:rPr>
        <w:t xml:space="preserve">la pregunta de si se sienten representados por sus </w:t>
      </w:r>
      <w:r>
        <w:rPr>
          <w:rFonts w:ascii="Arial" w:hAnsi="Arial" w:cs="Arial"/>
        </w:rPr>
        <w:t>Congreso</w:t>
      </w:r>
      <w:r w:rsidRPr="00F528E6">
        <w:rPr>
          <w:rFonts w:ascii="Arial" w:hAnsi="Arial" w:cs="Arial"/>
        </w:rPr>
        <w:t>s</w:t>
      </w:r>
      <w:r>
        <w:rPr>
          <w:rFonts w:ascii="Arial" w:hAnsi="Arial" w:cs="Arial"/>
        </w:rPr>
        <w:t xml:space="preserve"> de la siguiente manera:</w:t>
      </w:r>
      <w:r w:rsidRPr="00F528E6">
        <w:rPr>
          <w:rFonts w:ascii="Arial" w:hAnsi="Arial" w:cs="Arial"/>
        </w:rPr>
        <w:t xml:space="preserve"> 70</w:t>
      </w:r>
      <w:r>
        <w:rPr>
          <w:rFonts w:ascii="Arial" w:hAnsi="Arial" w:cs="Arial"/>
        </w:rPr>
        <w:t xml:space="preserve"> </w:t>
      </w:r>
      <w:r w:rsidRPr="00F528E6">
        <w:rPr>
          <w:rFonts w:ascii="Arial" w:hAnsi="Arial" w:cs="Arial"/>
        </w:rPr>
        <w:t xml:space="preserve">% de los latinoamericanos no se siente representado por sus </w:t>
      </w:r>
      <w:r>
        <w:rPr>
          <w:rFonts w:ascii="Arial" w:hAnsi="Arial" w:cs="Arial"/>
        </w:rPr>
        <w:t>Congreso</w:t>
      </w:r>
      <w:r w:rsidRPr="00F528E6">
        <w:rPr>
          <w:rFonts w:ascii="Arial" w:hAnsi="Arial" w:cs="Arial"/>
        </w:rPr>
        <w:t xml:space="preserve">s. Uruguay </w:t>
      </w:r>
      <w:r>
        <w:rPr>
          <w:rFonts w:ascii="Arial" w:hAnsi="Arial" w:cs="Arial"/>
        </w:rPr>
        <w:t>es</w:t>
      </w:r>
      <w:r w:rsidRPr="00F528E6">
        <w:rPr>
          <w:rFonts w:ascii="Arial" w:hAnsi="Arial" w:cs="Arial"/>
        </w:rPr>
        <w:t xml:space="preserve"> el país que </w:t>
      </w:r>
      <w:r>
        <w:rPr>
          <w:rFonts w:ascii="Arial" w:hAnsi="Arial" w:cs="Arial"/>
        </w:rPr>
        <w:t xml:space="preserve">se siente </w:t>
      </w:r>
      <w:r w:rsidRPr="00F528E6">
        <w:rPr>
          <w:rFonts w:ascii="Arial" w:hAnsi="Arial" w:cs="Arial"/>
        </w:rPr>
        <w:t xml:space="preserve">mejor representado con 45%; </w:t>
      </w:r>
      <w:r>
        <w:rPr>
          <w:rFonts w:ascii="Arial" w:hAnsi="Arial" w:cs="Arial"/>
        </w:rPr>
        <w:t xml:space="preserve">y </w:t>
      </w:r>
      <w:r w:rsidRPr="00F528E6">
        <w:rPr>
          <w:rFonts w:ascii="Arial" w:hAnsi="Arial" w:cs="Arial"/>
        </w:rPr>
        <w:t>en el otro extremo se encuentra</w:t>
      </w:r>
      <w:r>
        <w:rPr>
          <w:rFonts w:ascii="Arial" w:hAnsi="Arial" w:cs="Arial"/>
        </w:rPr>
        <w:t>n</w:t>
      </w:r>
      <w:r w:rsidRPr="00F528E6">
        <w:rPr>
          <w:rFonts w:ascii="Arial" w:hAnsi="Arial" w:cs="Arial"/>
        </w:rPr>
        <w:t xml:space="preserve"> Perú con apenas 8</w:t>
      </w:r>
      <w:r>
        <w:rPr>
          <w:rFonts w:ascii="Arial" w:hAnsi="Arial" w:cs="Arial"/>
        </w:rPr>
        <w:t xml:space="preserve"> </w:t>
      </w:r>
      <w:r w:rsidRPr="00F528E6">
        <w:rPr>
          <w:rFonts w:ascii="Arial" w:hAnsi="Arial" w:cs="Arial"/>
        </w:rPr>
        <w:t>% de aceptación</w:t>
      </w:r>
      <w:r>
        <w:rPr>
          <w:rFonts w:ascii="Arial" w:hAnsi="Arial" w:cs="Arial"/>
        </w:rPr>
        <w:t>,</w:t>
      </w:r>
      <w:r w:rsidRPr="00F528E6">
        <w:rPr>
          <w:rFonts w:ascii="Arial" w:hAnsi="Arial" w:cs="Arial"/>
        </w:rPr>
        <w:t xml:space="preserve"> Brasil </w:t>
      </w:r>
      <w:r>
        <w:rPr>
          <w:rFonts w:ascii="Arial" w:hAnsi="Arial" w:cs="Arial"/>
        </w:rPr>
        <w:t xml:space="preserve">con </w:t>
      </w:r>
      <w:r w:rsidRPr="00F528E6">
        <w:rPr>
          <w:rFonts w:ascii="Arial" w:hAnsi="Arial" w:cs="Arial"/>
        </w:rPr>
        <w:t>13</w:t>
      </w:r>
      <w:r>
        <w:rPr>
          <w:rFonts w:ascii="Arial" w:hAnsi="Arial" w:cs="Arial"/>
        </w:rPr>
        <w:t xml:space="preserve"> </w:t>
      </w:r>
      <w:r w:rsidRPr="00F528E6">
        <w:rPr>
          <w:rFonts w:ascii="Arial" w:hAnsi="Arial" w:cs="Arial"/>
        </w:rPr>
        <w:t xml:space="preserve">% y México </w:t>
      </w:r>
      <w:r>
        <w:rPr>
          <w:rFonts w:ascii="Arial" w:hAnsi="Arial" w:cs="Arial"/>
        </w:rPr>
        <w:t xml:space="preserve">con </w:t>
      </w:r>
      <w:r w:rsidRPr="00F528E6">
        <w:rPr>
          <w:rFonts w:ascii="Arial" w:hAnsi="Arial" w:cs="Arial"/>
        </w:rPr>
        <w:t>17%</w:t>
      </w:r>
      <w:r>
        <w:rPr>
          <w:rFonts w:ascii="Arial" w:hAnsi="Arial" w:cs="Arial"/>
        </w:rPr>
        <w:t>.</w:t>
      </w:r>
    </w:p>
  </w:footnote>
  <w:footnote w:id="2">
    <w:p w:rsidR="00B40618" w:rsidRPr="00F528E6" w:rsidRDefault="00B40618" w:rsidP="00B40618">
      <w:pPr>
        <w:pStyle w:val="Textonotapie"/>
        <w:jc w:val="both"/>
        <w:rPr>
          <w:rFonts w:ascii="Arial" w:hAnsi="Arial" w:cs="Arial"/>
        </w:rPr>
      </w:pPr>
      <w:r w:rsidRPr="00F528E6">
        <w:rPr>
          <w:rStyle w:val="Refdenotaalpie"/>
          <w:rFonts w:ascii="Arial" w:hAnsi="Arial" w:cs="Arial"/>
        </w:rPr>
        <w:footnoteRef/>
      </w:r>
      <w:r w:rsidRPr="00F528E6">
        <w:rPr>
          <w:rFonts w:ascii="Arial" w:hAnsi="Arial" w:cs="Arial"/>
        </w:rPr>
        <w:t xml:space="preserve"> Por ejemplo, en la misma encuesta de opinión, el gobierno o la figura presidencial tienen niveles de aprobación ligeramente superiores a los registrados por los </w:t>
      </w:r>
      <w:r>
        <w:rPr>
          <w:rFonts w:ascii="Arial" w:hAnsi="Arial" w:cs="Arial"/>
        </w:rPr>
        <w:t>Congreso</w:t>
      </w:r>
      <w:r w:rsidRPr="00F528E6">
        <w:rPr>
          <w:rFonts w:ascii="Arial" w:hAnsi="Arial" w:cs="Arial"/>
        </w:rPr>
        <w:t>s.</w:t>
      </w:r>
    </w:p>
  </w:footnote>
  <w:footnote w:id="3">
    <w:p w:rsidR="00B40618" w:rsidRPr="00F528E6" w:rsidRDefault="00B40618" w:rsidP="00B40618">
      <w:pPr>
        <w:pStyle w:val="Textonotapie"/>
        <w:jc w:val="both"/>
        <w:rPr>
          <w:rFonts w:ascii="Arial" w:hAnsi="Arial" w:cs="Arial"/>
          <w:lang w:val="es-ES"/>
        </w:rPr>
      </w:pPr>
      <w:r w:rsidRPr="00F528E6">
        <w:rPr>
          <w:rStyle w:val="Refdenotaalpie"/>
          <w:rFonts w:ascii="Arial" w:hAnsi="Arial" w:cs="Arial"/>
        </w:rPr>
        <w:footnoteRef/>
      </w:r>
      <w:r w:rsidRPr="00F528E6">
        <w:rPr>
          <w:rFonts w:ascii="Arial" w:hAnsi="Arial" w:cs="Arial"/>
        </w:rPr>
        <w:t xml:space="preserve"> </w:t>
      </w:r>
      <w:r w:rsidRPr="00F528E6">
        <w:rPr>
          <w:rFonts w:ascii="Arial" w:hAnsi="Arial" w:cs="Arial"/>
          <w:lang w:val="es-ES"/>
        </w:rPr>
        <w:t xml:space="preserve">Shedler (1999) y Ackerman (2004) coinciden en tres elementos básicos del </w:t>
      </w:r>
      <w:r w:rsidRPr="00F528E6">
        <w:rPr>
          <w:rFonts w:ascii="Arial" w:hAnsi="Arial" w:cs="Arial"/>
          <w:i/>
          <w:lang w:val="es-ES"/>
        </w:rPr>
        <w:t>accountability</w:t>
      </w:r>
      <w:r w:rsidRPr="00F528E6">
        <w:rPr>
          <w:rFonts w:ascii="Arial" w:hAnsi="Arial" w:cs="Arial"/>
          <w:lang w:val="es-ES"/>
        </w:rPr>
        <w:t xml:space="preserve">: a) </w:t>
      </w:r>
      <w:r w:rsidRPr="00F528E6">
        <w:rPr>
          <w:rFonts w:ascii="Arial" w:hAnsi="Arial" w:cs="Arial"/>
          <w:i/>
          <w:lang w:val="es-ES"/>
        </w:rPr>
        <w:t>answerability</w:t>
      </w:r>
      <w:r w:rsidRPr="00F528E6">
        <w:rPr>
          <w:rFonts w:ascii="Arial" w:hAnsi="Arial" w:cs="Arial"/>
          <w:lang w:val="es-ES"/>
        </w:rPr>
        <w:t xml:space="preserve">, b) </w:t>
      </w:r>
      <w:r w:rsidRPr="00F528E6">
        <w:rPr>
          <w:rFonts w:ascii="Arial" w:hAnsi="Arial" w:cs="Arial"/>
          <w:i/>
          <w:lang w:val="es-ES"/>
        </w:rPr>
        <w:t>receptiveness</w:t>
      </w:r>
      <w:r w:rsidRPr="00F528E6">
        <w:rPr>
          <w:rFonts w:ascii="Arial" w:hAnsi="Arial" w:cs="Arial"/>
          <w:lang w:val="es-ES"/>
        </w:rPr>
        <w:t xml:space="preserve"> y c) </w:t>
      </w:r>
      <w:r w:rsidRPr="00F528E6">
        <w:rPr>
          <w:rFonts w:ascii="Arial" w:hAnsi="Arial" w:cs="Arial"/>
          <w:i/>
          <w:lang w:val="es-ES"/>
        </w:rPr>
        <w:t>enforcement</w:t>
      </w:r>
      <w:r w:rsidRPr="00F528E6">
        <w:rPr>
          <w:rFonts w:ascii="Arial" w:hAnsi="Arial" w:cs="Arial"/>
          <w:lang w:val="es-ES"/>
        </w:rPr>
        <w:t>, es decir, transparencia, receptividad y sanción. Transparencia como el derecho de exigir que se informe sobre las decisiones del gobierno, además de explicar y/o justificar las razones de la decisión. La receptividad es la capacidad de incluir en los procesos de decisión, las opiniones y/o deliberaciones ciudadanas. Finalmente, sancionar es la posibilidad que tienen los ciudadanos de castigar la actuación correcta e incorrecta de los gobiernos electos, sanción que puede ir desde no ser reelecto en la siguiente elección, hasta la revocación del mandato.</w:t>
      </w:r>
    </w:p>
  </w:footnote>
  <w:footnote w:id="4">
    <w:p w:rsidR="00B40618" w:rsidRPr="00F528E6" w:rsidRDefault="00B40618" w:rsidP="00B40618">
      <w:pPr>
        <w:pStyle w:val="Textonotapie"/>
        <w:jc w:val="both"/>
        <w:rPr>
          <w:rFonts w:ascii="Arial" w:hAnsi="Arial" w:cs="Arial"/>
          <w:lang w:val="es-ES"/>
        </w:rPr>
      </w:pPr>
      <w:r w:rsidRPr="00F528E6">
        <w:rPr>
          <w:rStyle w:val="Refdenotaalpie"/>
          <w:rFonts w:ascii="Arial" w:hAnsi="Arial" w:cs="Arial"/>
        </w:rPr>
        <w:footnoteRef/>
      </w:r>
      <w:r w:rsidRPr="00F528E6">
        <w:rPr>
          <w:rFonts w:ascii="Arial" w:hAnsi="Arial" w:cs="Arial"/>
        </w:rPr>
        <w:t xml:space="preserve"> </w:t>
      </w:r>
      <w:r w:rsidRPr="00F528E6">
        <w:rPr>
          <w:rFonts w:ascii="Arial" w:hAnsi="Arial" w:cs="Arial"/>
          <w:lang w:val="es-ES"/>
        </w:rPr>
        <w:t xml:space="preserve">En un estudio muy documentado estos autores evalúan la rendición de cuentas horizontal en el caso mexicano </w:t>
      </w:r>
      <w:r>
        <w:rPr>
          <w:rFonts w:ascii="Arial" w:hAnsi="Arial" w:cs="Arial"/>
          <w:lang w:val="es-ES"/>
        </w:rPr>
        <w:t xml:space="preserve">e </w:t>
      </w:r>
      <w:r w:rsidRPr="00F528E6">
        <w:rPr>
          <w:rFonts w:ascii="Arial" w:hAnsi="Arial" w:cs="Arial"/>
          <w:lang w:val="es-ES"/>
        </w:rPr>
        <w:t>identifican las normas y reglas que integran el conjunto del sistema de pesos y contrapesos en el sistema político mexicano.</w:t>
      </w:r>
    </w:p>
  </w:footnote>
  <w:footnote w:id="5">
    <w:p w:rsidR="00B40618" w:rsidRPr="00F528E6" w:rsidRDefault="00B40618" w:rsidP="00B40618">
      <w:pPr>
        <w:pStyle w:val="Cuerpo"/>
        <w:spacing w:before="120" w:after="120"/>
        <w:jc w:val="both"/>
        <w:rPr>
          <w:rFonts w:ascii="Arial" w:hAnsi="Arial" w:cs="Arial"/>
          <w:sz w:val="20"/>
          <w:szCs w:val="20"/>
        </w:rPr>
      </w:pPr>
      <w:r w:rsidRPr="00F528E6">
        <w:rPr>
          <w:rStyle w:val="Refdenotaalpie"/>
          <w:rFonts w:ascii="Arial" w:hAnsi="Arial" w:cs="Arial"/>
          <w:sz w:val="20"/>
          <w:szCs w:val="20"/>
        </w:rPr>
        <w:footnoteRef/>
      </w:r>
      <w:r w:rsidRPr="00F528E6">
        <w:rPr>
          <w:rFonts w:ascii="Arial" w:hAnsi="Arial" w:cs="Arial"/>
          <w:sz w:val="20"/>
          <w:szCs w:val="20"/>
        </w:rPr>
        <w:t xml:space="preserve"> Respecto a este último elemento, es cierto</w:t>
      </w:r>
      <w:r>
        <w:rPr>
          <w:rFonts w:ascii="Arial" w:hAnsi="Arial" w:cs="Arial"/>
          <w:sz w:val="20"/>
          <w:szCs w:val="20"/>
        </w:rPr>
        <w:t xml:space="preserve"> que</w:t>
      </w:r>
      <w:r w:rsidRPr="00F528E6">
        <w:rPr>
          <w:rFonts w:ascii="Arial" w:hAnsi="Arial" w:cs="Arial"/>
          <w:sz w:val="20"/>
          <w:szCs w:val="20"/>
        </w:rPr>
        <w:t xml:space="preserve"> el cabildeo ejercido por intereses específicos tiene la posibilidad de manipular las decisiones legislativas a favor de ciertos intereses; sin embargo, el cabildeo no solo puede ser ejercido por intereses específicos</w:t>
      </w:r>
      <w:r>
        <w:rPr>
          <w:rFonts w:ascii="Arial" w:hAnsi="Arial" w:cs="Arial"/>
          <w:sz w:val="20"/>
          <w:szCs w:val="20"/>
        </w:rPr>
        <w:t>. Para ello</w:t>
      </w:r>
      <w:r w:rsidRPr="00F528E6">
        <w:rPr>
          <w:rFonts w:ascii="Arial" w:hAnsi="Arial" w:cs="Arial"/>
          <w:sz w:val="20"/>
          <w:szCs w:val="20"/>
        </w:rPr>
        <w:t xml:space="preserve"> es necesario fomentar la participación de grupos profesionales y/o académicos especializados en temas que coadyuvan con el flujo de información que pueden carecer los legisladores, dichos grupos pueden ser copartícipes de decisiones legislativas o</w:t>
      </w:r>
      <w:r>
        <w:rPr>
          <w:rFonts w:ascii="Arial" w:hAnsi="Arial" w:cs="Arial"/>
          <w:sz w:val="20"/>
          <w:szCs w:val="20"/>
        </w:rPr>
        <w:t>,</w:t>
      </w:r>
      <w:r w:rsidRPr="00F528E6">
        <w:rPr>
          <w:rFonts w:ascii="Arial" w:hAnsi="Arial" w:cs="Arial"/>
          <w:sz w:val="20"/>
          <w:szCs w:val="20"/>
        </w:rPr>
        <w:t xml:space="preserve"> por lo menos, sus posturas s</w:t>
      </w:r>
      <w:r>
        <w:rPr>
          <w:rFonts w:ascii="Arial" w:hAnsi="Arial" w:cs="Arial"/>
          <w:sz w:val="20"/>
          <w:szCs w:val="20"/>
        </w:rPr>
        <w:t>er</w:t>
      </w:r>
      <w:r w:rsidRPr="00F528E6">
        <w:rPr>
          <w:rFonts w:ascii="Arial" w:hAnsi="Arial" w:cs="Arial"/>
          <w:sz w:val="20"/>
          <w:szCs w:val="20"/>
        </w:rPr>
        <w:t xml:space="preserve"> consideradas en la agenda gubernamental, en el proceso legislativo, en el diseño de la política o en la evaluación de la misma. </w:t>
      </w:r>
    </w:p>
    <w:p w:rsidR="00B40618" w:rsidRPr="00F528E6" w:rsidRDefault="00B40618" w:rsidP="00B40618">
      <w:pPr>
        <w:pStyle w:val="Textonotapie"/>
        <w:jc w:val="both"/>
        <w:rPr>
          <w:rFonts w:ascii="Arial" w:hAnsi="Arial" w:cs="Arial"/>
          <w:lang w:val="es-ES"/>
        </w:rPr>
      </w:pPr>
    </w:p>
  </w:footnote>
  <w:footnote w:id="6">
    <w:p w:rsidR="00B40618" w:rsidRPr="00F528E6" w:rsidRDefault="00B40618" w:rsidP="00B40618">
      <w:pPr>
        <w:pStyle w:val="Textonotapie"/>
        <w:jc w:val="both"/>
        <w:rPr>
          <w:rFonts w:ascii="Arial" w:hAnsi="Arial" w:cs="Arial"/>
          <w:lang w:val="es-MX"/>
        </w:rPr>
      </w:pPr>
      <w:r w:rsidRPr="00F528E6">
        <w:rPr>
          <w:rStyle w:val="Refdenotaalpie"/>
          <w:rFonts w:ascii="Arial" w:hAnsi="Arial" w:cs="Arial"/>
        </w:rPr>
        <w:footnoteRef/>
      </w:r>
      <w:r w:rsidRPr="00F528E6">
        <w:rPr>
          <w:rFonts w:ascii="Arial" w:hAnsi="Arial" w:cs="Arial"/>
        </w:rPr>
        <w:t xml:space="preserve"> Dicha evaluación es importante en tanto que las dimensiones consideran además de la base normativa que incluye la existencia de leyes y reglamentos relacionados con acceso a la información, fiscalización legislativa, oficinas de atención ciudadana, gestión y ética. La medición también incluye códigos que evalúan la implementación de las mismas además de la publicidad de la labor del </w:t>
      </w:r>
      <w:r>
        <w:rPr>
          <w:rFonts w:ascii="Arial" w:hAnsi="Arial" w:cs="Arial"/>
        </w:rPr>
        <w:t>Congreso</w:t>
      </w:r>
      <w:r w:rsidRPr="00F528E6">
        <w:rPr>
          <w:rFonts w:ascii="Arial" w:hAnsi="Arial" w:cs="Arial"/>
        </w:rPr>
        <w:t xml:space="preserve"> y sus órganos internos como las comisiones, los grupos parlamentarios, las votaciones, la asesoría interna y externa, así como la facilidad de acceso a la documentación legislativa, además de campos relacionados con el presupuesto y la gestión administrativa de los </w:t>
      </w:r>
      <w:r>
        <w:rPr>
          <w:rFonts w:ascii="Arial" w:hAnsi="Arial" w:cs="Arial"/>
        </w:rPr>
        <w:t>Congreso</w:t>
      </w:r>
      <w:r w:rsidRPr="00F528E6">
        <w:rPr>
          <w:rFonts w:ascii="Arial" w:hAnsi="Arial" w:cs="Arial"/>
        </w:rPr>
        <w:t xml:space="preserve">s de la región, sin olvidar el cumplimiento de la normativa de aquellos países que poseen mecanismos legislativos de atención, petición y respuesta ciudadana. Finalmente, se evalúa la capacidad tecnológica de los diversos medios de comunicación con los que cuentan los </w:t>
      </w:r>
      <w:r>
        <w:rPr>
          <w:rFonts w:ascii="Arial" w:hAnsi="Arial" w:cs="Arial"/>
        </w:rPr>
        <w:t>Congreso</w:t>
      </w:r>
      <w:r w:rsidRPr="00F528E6">
        <w:rPr>
          <w:rFonts w:ascii="Arial" w:hAnsi="Arial" w:cs="Arial"/>
        </w:rPr>
        <w:t>s para la facilitar la accesibilidad a la información legislativa de parte de los ciudadanos.</w:t>
      </w:r>
    </w:p>
  </w:footnote>
  <w:footnote w:id="7">
    <w:p w:rsidR="00B40618" w:rsidRPr="00F528E6" w:rsidRDefault="00B40618" w:rsidP="00B40618">
      <w:pPr>
        <w:pStyle w:val="Textonotapie"/>
        <w:jc w:val="both"/>
        <w:rPr>
          <w:rFonts w:ascii="Arial" w:hAnsi="Arial" w:cs="Arial"/>
          <w:lang w:val="es-ES"/>
        </w:rPr>
      </w:pPr>
      <w:r w:rsidRPr="00F528E6">
        <w:rPr>
          <w:rStyle w:val="Refdenotaalpie"/>
          <w:rFonts w:ascii="Arial" w:hAnsi="Arial" w:cs="Arial"/>
        </w:rPr>
        <w:footnoteRef/>
      </w:r>
      <w:r w:rsidRPr="00F528E6">
        <w:rPr>
          <w:rFonts w:ascii="Arial" w:hAnsi="Arial" w:cs="Arial"/>
        </w:rPr>
        <w:t xml:space="preserve"> </w:t>
      </w:r>
      <w:r w:rsidRPr="00F528E6">
        <w:rPr>
          <w:rFonts w:ascii="Arial" w:hAnsi="Arial" w:cs="Arial"/>
          <w:lang w:val="es-ES"/>
        </w:rPr>
        <w:t>En Chile y Colombia se publican los nombres de los proveedores de bienes no licitados. Chile, Ecuador y Perú brinda</w:t>
      </w:r>
      <w:r>
        <w:rPr>
          <w:rFonts w:ascii="Arial" w:hAnsi="Arial" w:cs="Arial"/>
          <w:lang w:val="es-ES"/>
        </w:rPr>
        <w:t>n</w:t>
      </w:r>
      <w:r w:rsidRPr="00F528E6">
        <w:rPr>
          <w:rFonts w:ascii="Arial" w:hAnsi="Arial" w:cs="Arial"/>
          <w:lang w:val="es-ES"/>
        </w:rPr>
        <w:t xml:space="preserve"> informes financieros sobre viajes dentro y fuera del país; estos países también publican detallados formatos presupuestales en los que se incluye: gasto de las fracciones, auditor</w:t>
      </w:r>
      <w:r>
        <w:rPr>
          <w:rFonts w:ascii="Arial" w:hAnsi="Arial" w:cs="Arial"/>
          <w:lang w:val="es-ES"/>
        </w:rPr>
        <w:t>í</w:t>
      </w:r>
      <w:r w:rsidRPr="00F528E6">
        <w:rPr>
          <w:rFonts w:ascii="Arial" w:hAnsi="Arial" w:cs="Arial"/>
          <w:lang w:val="es-ES"/>
        </w:rPr>
        <w:t>as internas y externas, publicación de los salarios y prestaciones, estructura administrativa, asesorías contratadas por los congresistas, contrataciones públicas, entre los principales (Red Latinoamericana por la Transparencia,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496194208"/>
      <w:docPartObj>
        <w:docPartGallery w:val="Page Numbers (Top of Page)"/>
        <w:docPartUnique/>
      </w:docPartObj>
    </w:sdtPr>
    <w:sdtEndPr/>
    <w:sdtContent>
      <w:p w:rsidR="00A35727" w:rsidRDefault="00B40618" w:rsidP="00B40618">
        <w:pPr>
          <w:pStyle w:val="Encabezado"/>
          <w:jc w:val="center"/>
        </w:pPr>
        <w:r w:rsidRPr="00B40618">
          <w:rPr>
            <w:rFonts w:ascii="Calibri" w:hAnsi="Calibri" w:cs="Calibri"/>
            <w:b/>
            <w:i/>
            <w:sz w:val="22"/>
          </w:rPr>
          <w:t>Revista Iberoamericana de las Ciencias Sociales y Humanísticas</w:t>
        </w:r>
        <w:r w:rsidRPr="00B40618">
          <w:rPr>
            <w:rFonts w:ascii="Calibri" w:hAnsi="Calibri" w:cs="Calibri"/>
            <w:b/>
            <w:sz w:val="22"/>
          </w:rPr>
          <w:t xml:space="preserve">                                ISSN: 2395-7972</w:t>
        </w:r>
      </w:p>
    </w:sdtContent>
  </w:sdt>
  <w:p w:rsidR="00A35727" w:rsidRDefault="009340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5DE7"/>
    <w:multiLevelType w:val="hybridMultilevel"/>
    <w:tmpl w:val="49467FC8"/>
    <w:lvl w:ilvl="0" w:tplc="B57287A4">
      <w:start w:val="2"/>
      <w:numFmt w:val="bullet"/>
      <w:lvlText w:val="-"/>
      <w:lvlJc w:val="left"/>
      <w:pPr>
        <w:ind w:left="720" w:hanging="360"/>
      </w:pPr>
      <w:rPr>
        <w:rFonts w:ascii="Arial" w:eastAsia="Arial Unicode MS"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24B02CE"/>
    <w:multiLevelType w:val="hybridMultilevel"/>
    <w:tmpl w:val="2AA2DC5C"/>
    <w:lvl w:ilvl="0" w:tplc="4788C02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59C46E3"/>
    <w:multiLevelType w:val="hybridMultilevel"/>
    <w:tmpl w:val="5158EC94"/>
    <w:lvl w:ilvl="0" w:tplc="CDFCDDFA">
      <w:start w:val="498"/>
      <w:numFmt w:val="bullet"/>
      <w:lvlText w:val=""/>
      <w:lvlJc w:val="left"/>
      <w:pPr>
        <w:ind w:left="720" w:hanging="360"/>
      </w:pPr>
      <w:rPr>
        <w:rFonts w:ascii="Symbol" w:eastAsia="Arial Unicode MS"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FE800CC"/>
    <w:multiLevelType w:val="hybridMultilevel"/>
    <w:tmpl w:val="99A01CA8"/>
    <w:lvl w:ilvl="0" w:tplc="BDEECC00">
      <w:numFmt w:val="bullet"/>
      <w:lvlText w:val=""/>
      <w:lvlJc w:val="left"/>
      <w:pPr>
        <w:ind w:left="720" w:hanging="360"/>
      </w:pPr>
      <w:rPr>
        <w:rFonts w:ascii="Symbol" w:eastAsia="Arial Unicode MS"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E876555"/>
    <w:multiLevelType w:val="hybridMultilevel"/>
    <w:tmpl w:val="63E4AC5A"/>
    <w:lvl w:ilvl="0" w:tplc="0322B0E2">
      <w:numFmt w:val="bullet"/>
      <w:lvlText w:val="-"/>
      <w:lvlJc w:val="left"/>
      <w:pPr>
        <w:ind w:left="720" w:hanging="360"/>
      </w:pPr>
      <w:rPr>
        <w:rFonts w:ascii="Arial" w:eastAsia="Arial Unicode MS"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618"/>
    <w:rsid w:val="00005C7F"/>
    <w:rsid w:val="00017276"/>
    <w:rsid w:val="00173533"/>
    <w:rsid w:val="001950C1"/>
    <w:rsid w:val="00196E2D"/>
    <w:rsid w:val="002F6D47"/>
    <w:rsid w:val="003743A2"/>
    <w:rsid w:val="004002A3"/>
    <w:rsid w:val="0049446A"/>
    <w:rsid w:val="005516CC"/>
    <w:rsid w:val="005E3AC9"/>
    <w:rsid w:val="005E47F9"/>
    <w:rsid w:val="005F3196"/>
    <w:rsid w:val="00684E4E"/>
    <w:rsid w:val="006E739A"/>
    <w:rsid w:val="007817C2"/>
    <w:rsid w:val="008D25B6"/>
    <w:rsid w:val="008F344E"/>
    <w:rsid w:val="009340D9"/>
    <w:rsid w:val="009A4C84"/>
    <w:rsid w:val="009F7B05"/>
    <w:rsid w:val="00A5668B"/>
    <w:rsid w:val="00AA17F9"/>
    <w:rsid w:val="00AD0C7E"/>
    <w:rsid w:val="00AD4976"/>
    <w:rsid w:val="00B40618"/>
    <w:rsid w:val="00BA774C"/>
    <w:rsid w:val="00BD6B00"/>
    <w:rsid w:val="00C83831"/>
    <w:rsid w:val="00CD20B9"/>
    <w:rsid w:val="00CF6F59"/>
    <w:rsid w:val="00D2775B"/>
    <w:rsid w:val="00D50C3D"/>
    <w:rsid w:val="00D970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D32B44-E808-4A37-AD65-20A3187E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B4061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qFormat/>
    <w:rsid w:val="00B40618"/>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ES_tradnl"/>
    </w:rPr>
  </w:style>
  <w:style w:type="table" w:customStyle="1" w:styleId="TableNormal">
    <w:name w:val="Table Normal"/>
    <w:rsid w:val="00B4061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paragraph" w:customStyle="1" w:styleId="Cuerpo">
    <w:name w:val="Cuerpo"/>
    <w:rsid w:val="00B40618"/>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_tradnl"/>
    </w:rPr>
  </w:style>
  <w:style w:type="paragraph" w:styleId="Textonotapie">
    <w:name w:val="footnote text"/>
    <w:link w:val="TextonotapieCar"/>
    <w:rsid w:val="00B4061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ES_tradnl"/>
    </w:rPr>
  </w:style>
  <w:style w:type="character" w:customStyle="1" w:styleId="TextonotapieCar">
    <w:name w:val="Texto nota pie Car"/>
    <w:basedOn w:val="Fuentedeprrafopredeter"/>
    <w:link w:val="Textonotapie"/>
    <w:qFormat/>
    <w:rsid w:val="00B40618"/>
    <w:rPr>
      <w:rFonts w:ascii="Times New Roman" w:eastAsia="Times New Roman" w:hAnsi="Times New Roman" w:cs="Times New Roman"/>
      <w:color w:val="000000"/>
      <w:sz w:val="20"/>
      <w:szCs w:val="20"/>
      <w:u w:color="000000"/>
      <w:bdr w:val="nil"/>
      <w:lang w:val="es-ES_tradnl" w:eastAsia="es-ES_tradnl"/>
    </w:rPr>
  </w:style>
  <w:style w:type="character" w:styleId="Refdenotaalpie">
    <w:name w:val="footnote reference"/>
    <w:basedOn w:val="Fuentedeprrafopredeter"/>
    <w:unhideWhenUsed/>
    <w:rsid w:val="00B40618"/>
    <w:rPr>
      <w:vertAlign w:val="superscript"/>
    </w:rPr>
  </w:style>
  <w:style w:type="table" w:styleId="Tablaconcuadrcula">
    <w:name w:val="Table Grid"/>
    <w:basedOn w:val="Tablanormal"/>
    <w:uiPriority w:val="59"/>
    <w:rsid w:val="00B4061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40618"/>
    <w:rPr>
      <w:rFonts w:ascii="Tahoma" w:hAnsi="Tahoma" w:cs="Tahoma"/>
      <w:sz w:val="16"/>
      <w:szCs w:val="16"/>
    </w:rPr>
  </w:style>
  <w:style w:type="character" w:customStyle="1" w:styleId="TextodegloboCar">
    <w:name w:val="Texto de globo Car"/>
    <w:basedOn w:val="Fuentedeprrafopredeter"/>
    <w:link w:val="Textodeglobo"/>
    <w:uiPriority w:val="99"/>
    <w:semiHidden/>
    <w:rsid w:val="00B40618"/>
    <w:rPr>
      <w:rFonts w:ascii="Tahoma" w:eastAsia="Arial Unicode MS" w:hAnsi="Tahoma" w:cs="Tahoma"/>
      <w:sz w:val="16"/>
      <w:szCs w:val="16"/>
      <w:bdr w:val="nil"/>
      <w:lang w:val="en-US"/>
    </w:rPr>
  </w:style>
  <w:style w:type="paragraph" w:customStyle="1" w:styleId="Textopredeterminado">
    <w:name w:val="Texto predeterminado"/>
    <w:basedOn w:val="Normal"/>
    <w:rsid w:val="00B4061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eastAsia="Times New Roman"/>
      <w:szCs w:val="20"/>
      <w:bdr w:val="none" w:sz="0" w:space="0" w:color="auto"/>
      <w:lang w:eastAsia="es-ES"/>
    </w:rPr>
  </w:style>
  <w:style w:type="paragraph" w:customStyle="1" w:styleId="prrafodefuente">
    <w:name w:val="párrafo de fuente"/>
    <w:basedOn w:val="Normal"/>
    <w:rsid w:val="00B40618"/>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s>
      <w:autoSpaceDE w:val="0"/>
      <w:autoSpaceDN w:val="0"/>
      <w:spacing w:before="120" w:after="120"/>
      <w:ind w:left="624" w:hanging="624"/>
    </w:pPr>
    <w:rPr>
      <w:rFonts w:eastAsia="Times New Roman"/>
      <w:spacing w:val="20"/>
      <w:sz w:val="18"/>
      <w:szCs w:val="18"/>
      <w:bdr w:val="none" w:sz="0" w:space="0" w:color="auto"/>
      <w:lang w:val="es-ES"/>
    </w:rPr>
  </w:style>
  <w:style w:type="paragraph" w:customStyle="1" w:styleId="Titulodecuadro">
    <w:name w:val="Titulo de cuadro"/>
    <w:basedOn w:val="Normal"/>
    <w:rsid w:val="00B40618"/>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center"/>
    </w:pPr>
    <w:rPr>
      <w:rFonts w:eastAsia="Times New Roman" w:cs="Tahoma"/>
      <w:b/>
      <w:bCs/>
      <w:spacing w:val="20"/>
      <w:sz w:val="18"/>
      <w:szCs w:val="20"/>
      <w:bdr w:val="none" w:sz="0" w:space="0" w:color="auto"/>
      <w:lang w:val="es-ES" w:eastAsia="es-ES"/>
    </w:rPr>
  </w:style>
  <w:style w:type="paragraph" w:styleId="Prrafodelista">
    <w:name w:val="List Paragraph"/>
    <w:basedOn w:val="Normal"/>
    <w:uiPriority w:val="34"/>
    <w:qFormat/>
    <w:rsid w:val="00B40618"/>
    <w:pPr>
      <w:ind w:left="720"/>
      <w:contextualSpacing/>
    </w:pPr>
  </w:style>
  <w:style w:type="character" w:styleId="Hipervnculo">
    <w:name w:val="Hyperlink"/>
    <w:basedOn w:val="Fuentedeprrafopredeter"/>
    <w:uiPriority w:val="99"/>
    <w:unhideWhenUsed/>
    <w:rsid w:val="00B40618"/>
    <w:rPr>
      <w:color w:val="0000FF" w:themeColor="hyperlink"/>
      <w:u w:val="single"/>
    </w:rPr>
  </w:style>
  <w:style w:type="paragraph" w:styleId="Descripcin">
    <w:name w:val="caption"/>
    <w:basedOn w:val="Normal"/>
    <w:next w:val="Normal"/>
    <w:uiPriority w:val="35"/>
    <w:semiHidden/>
    <w:unhideWhenUsed/>
    <w:qFormat/>
    <w:rsid w:val="00B40618"/>
    <w:pPr>
      <w:spacing w:after="200"/>
    </w:pPr>
    <w:rPr>
      <w:b/>
      <w:bCs/>
      <w:color w:val="4F81BD" w:themeColor="accent1"/>
      <w:sz w:val="18"/>
      <w:szCs w:val="18"/>
    </w:rPr>
  </w:style>
  <w:style w:type="paragraph" w:styleId="Encabezado">
    <w:name w:val="header"/>
    <w:basedOn w:val="Normal"/>
    <w:link w:val="EncabezadoCar"/>
    <w:uiPriority w:val="99"/>
    <w:unhideWhenUsed/>
    <w:rsid w:val="00B40618"/>
    <w:pPr>
      <w:tabs>
        <w:tab w:val="center" w:pos="4419"/>
        <w:tab w:val="right" w:pos="8838"/>
      </w:tabs>
    </w:pPr>
  </w:style>
  <w:style w:type="character" w:customStyle="1" w:styleId="EncabezadoCar">
    <w:name w:val="Encabezado Car"/>
    <w:basedOn w:val="Fuentedeprrafopredeter"/>
    <w:link w:val="Encabezado"/>
    <w:uiPriority w:val="99"/>
    <w:rsid w:val="00B40618"/>
    <w:rPr>
      <w:rFonts w:ascii="Times New Roman" w:eastAsia="Arial Unicode MS" w:hAnsi="Times New Roman" w:cs="Times New Roman"/>
      <w:sz w:val="24"/>
      <w:szCs w:val="24"/>
      <w:bdr w:val="nil"/>
      <w:lang w:val="en-US"/>
    </w:rPr>
  </w:style>
  <w:style w:type="paragraph" w:styleId="Piedepgina">
    <w:name w:val="footer"/>
    <w:basedOn w:val="Normal"/>
    <w:link w:val="PiedepginaCar"/>
    <w:uiPriority w:val="99"/>
    <w:unhideWhenUsed/>
    <w:rsid w:val="00B40618"/>
    <w:pPr>
      <w:tabs>
        <w:tab w:val="center" w:pos="4419"/>
        <w:tab w:val="right" w:pos="8838"/>
      </w:tabs>
    </w:pPr>
  </w:style>
  <w:style w:type="character" w:customStyle="1" w:styleId="PiedepginaCar">
    <w:name w:val="Pie de página Car"/>
    <w:basedOn w:val="Fuentedeprrafopredeter"/>
    <w:link w:val="Piedepgina"/>
    <w:uiPriority w:val="99"/>
    <w:rsid w:val="00B40618"/>
    <w:rPr>
      <w:rFonts w:ascii="Times New Roman" w:eastAsia="Arial Unicode MS" w:hAnsi="Times New Roman" w:cs="Times New Roman"/>
      <w:sz w:val="24"/>
      <w:szCs w:val="24"/>
      <w:bdr w:val="nil"/>
      <w:lang w:val="en-US"/>
    </w:rPr>
  </w:style>
  <w:style w:type="paragraph" w:styleId="Bibliografa">
    <w:name w:val="Bibliography"/>
    <w:basedOn w:val="Normal"/>
    <w:next w:val="Normal"/>
    <w:uiPriority w:val="37"/>
    <w:semiHidden/>
    <w:unhideWhenUsed/>
    <w:rsid w:val="00B4061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HAnsi" w:hAnsiTheme="minorHAnsi" w:cstheme="minorBidi"/>
      <w:sz w:val="22"/>
      <w:szCs w:val="22"/>
      <w:bdr w:val="none" w:sz="0" w:space="0" w:color="auto"/>
      <w:lang w:val="es-MX"/>
    </w:rPr>
  </w:style>
  <w:style w:type="paragraph" w:styleId="Sangradetextonormal">
    <w:name w:val="Body Text Indent"/>
    <w:basedOn w:val="Normal"/>
    <w:link w:val="SangradetextonormalCar"/>
    <w:rsid w:val="00B40618"/>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eastAsia="Times New Roman"/>
      <w:bdr w:val="none" w:sz="0" w:space="0" w:color="auto"/>
      <w:lang w:val="es-ES" w:eastAsia="es-ES"/>
    </w:rPr>
  </w:style>
  <w:style w:type="character" w:customStyle="1" w:styleId="SangradetextonormalCar">
    <w:name w:val="Sangría de texto normal Car"/>
    <w:basedOn w:val="Fuentedeprrafopredeter"/>
    <w:link w:val="Sangradetextonormal"/>
    <w:rsid w:val="00B40618"/>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B40618"/>
    <w:pPr>
      <w:spacing w:after="120"/>
    </w:pPr>
  </w:style>
  <w:style w:type="character" w:customStyle="1" w:styleId="TextoindependienteCar">
    <w:name w:val="Texto independiente Car"/>
    <w:basedOn w:val="Fuentedeprrafopredeter"/>
    <w:link w:val="Textoindependiente"/>
    <w:uiPriority w:val="99"/>
    <w:semiHidden/>
    <w:rsid w:val="00B40618"/>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882558">
      <w:bodyDiv w:val="1"/>
      <w:marLeft w:val="0"/>
      <w:marRight w:val="0"/>
      <w:marTop w:val="0"/>
      <w:marBottom w:val="0"/>
      <w:divBdr>
        <w:top w:val="none" w:sz="0" w:space="0" w:color="auto"/>
        <w:left w:val="none" w:sz="0" w:space="0" w:color="auto"/>
        <w:bottom w:val="none" w:sz="0" w:space="0" w:color="auto"/>
        <w:right w:val="none" w:sz="0" w:space="0" w:color="auto"/>
      </w:divBdr>
    </w:div>
    <w:div w:id="2126998298">
      <w:bodyDiv w:val="1"/>
      <w:marLeft w:val="0"/>
      <w:marRight w:val="0"/>
      <w:marTop w:val="0"/>
      <w:marBottom w:val="0"/>
      <w:divBdr>
        <w:top w:val="none" w:sz="0" w:space="0" w:color="auto"/>
        <w:left w:val="none" w:sz="0" w:space="0" w:color="auto"/>
        <w:bottom w:val="none" w:sz="0" w:space="0" w:color="auto"/>
        <w:right w:val="none" w:sz="0" w:space="0" w:color="auto"/>
      </w:divBdr>
      <w:divsChild>
        <w:div w:id="307977362">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merico.usal.es/oir/legislatina/reelecci&#243;n.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Hoja1!$B$1</c:f>
              <c:strCache>
                <c:ptCount val="1"/>
                <c:pt idx="0">
                  <c:v>CD</c:v>
                </c:pt>
              </c:strCache>
            </c:strRef>
          </c:tx>
          <c:invertIfNegative val="0"/>
          <c:cat>
            <c:strRef>
              <c:f>Hoja1!$A$2:$A$18</c:f>
              <c:strCache>
                <c:ptCount val="17"/>
                <c:pt idx="0">
                  <c:v>Argentina</c:v>
                </c:pt>
                <c:pt idx="1">
                  <c:v>Chile</c:v>
                </c:pt>
                <c:pt idx="2">
                  <c:v>Brasil</c:v>
                </c:pt>
                <c:pt idx="3">
                  <c:v>Paraguay</c:v>
                </c:pt>
                <c:pt idx="4">
                  <c:v>Colombia</c:v>
                </c:pt>
                <c:pt idx="5">
                  <c:v>Rep. Dominicana</c:v>
                </c:pt>
                <c:pt idx="6">
                  <c:v>Bolivia</c:v>
                </c:pt>
                <c:pt idx="7">
                  <c:v>México</c:v>
                </c:pt>
                <c:pt idx="8">
                  <c:v>Ecuador</c:v>
                </c:pt>
                <c:pt idx="9">
                  <c:v>El Salvador</c:v>
                </c:pt>
                <c:pt idx="10">
                  <c:v>Guatemala</c:v>
                </c:pt>
                <c:pt idx="11">
                  <c:v>Honduras</c:v>
                </c:pt>
                <c:pt idx="12">
                  <c:v>Nicaragua</c:v>
                </c:pt>
                <c:pt idx="13">
                  <c:v>Panamá</c:v>
                </c:pt>
                <c:pt idx="14">
                  <c:v>Perú</c:v>
                </c:pt>
                <c:pt idx="15">
                  <c:v>Venezuela</c:v>
                </c:pt>
                <c:pt idx="16">
                  <c:v>Costa Rica</c:v>
                </c:pt>
              </c:strCache>
            </c:strRef>
          </c:cat>
          <c:val>
            <c:numRef>
              <c:f>Hoja1!$B$2:$B$18</c:f>
              <c:numCache>
                <c:formatCode>General</c:formatCode>
                <c:ptCount val="17"/>
                <c:pt idx="0">
                  <c:v>52.01</c:v>
                </c:pt>
                <c:pt idx="1">
                  <c:v>63.33</c:v>
                </c:pt>
                <c:pt idx="2">
                  <c:v>50.97</c:v>
                </c:pt>
                <c:pt idx="3">
                  <c:v>31.25</c:v>
                </c:pt>
                <c:pt idx="4">
                  <c:v>32.130000000000003</c:v>
                </c:pt>
                <c:pt idx="5">
                  <c:v>19.88</c:v>
                </c:pt>
                <c:pt idx="6">
                  <c:v>9.99</c:v>
                </c:pt>
                <c:pt idx="7">
                  <c:v>5.59</c:v>
                </c:pt>
                <c:pt idx="8">
                  <c:v>12.69</c:v>
                </c:pt>
                <c:pt idx="9">
                  <c:v>43.44</c:v>
                </c:pt>
                <c:pt idx="10">
                  <c:v>13.5</c:v>
                </c:pt>
                <c:pt idx="11">
                  <c:v>24.28</c:v>
                </c:pt>
                <c:pt idx="12">
                  <c:v>27.16</c:v>
                </c:pt>
                <c:pt idx="13">
                  <c:v>35.21</c:v>
                </c:pt>
                <c:pt idx="14">
                  <c:v>20.27</c:v>
                </c:pt>
                <c:pt idx="15">
                  <c:v>23.03</c:v>
                </c:pt>
                <c:pt idx="16">
                  <c:v>3.5</c:v>
                </c:pt>
              </c:numCache>
            </c:numRef>
          </c:val>
          <c:extLst>
            <c:ext xmlns:c16="http://schemas.microsoft.com/office/drawing/2014/chart" uri="{C3380CC4-5D6E-409C-BE32-E72D297353CC}">
              <c16:uniqueId val="{00000000-B09A-495D-A5FD-7147CB851C8F}"/>
            </c:ext>
          </c:extLst>
        </c:ser>
        <c:ser>
          <c:idx val="1"/>
          <c:order val="1"/>
          <c:tx>
            <c:strRef>
              <c:f>Hoja1!$C$1</c:f>
              <c:strCache>
                <c:ptCount val="1"/>
                <c:pt idx="0">
                  <c:v>CS</c:v>
                </c:pt>
              </c:strCache>
            </c:strRef>
          </c:tx>
          <c:invertIfNegative val="0"/>
          <c:cat>
            <c:strRef>
              <c:f>Hoja1!$A$2:$A$18</c:f>
              <c:strCache>
                <c:ptCount val="17"/>
                <c:pt idx="0">
                  <c:v>Argentina</c:v>
                </c:pt>
                <c:pt idx="1">
                  <c:v>Chile</c:v>
                </c:pt>
                <c:pt idx="2">
                  <c:v>Brasil</c:v>
                </c:pt>
                <c:pt idx="3">
                  <c:v>Paraguay</c:v>
                </c:pt>
                <c:pt idx="4">
                  <c:v>Colombia</c:v>
                </c:pt>
                <c:pt idx="5">
                  <c:v>Rep. Dominicana</c:v>
                </c:pt>
                <c:pt idx="6">
                  <c:v>Bolivia</c:v>
                </c:pt>
                <c:pt idx="7">
                  <c:v>México</c:v>
                </c:pt>
                <c:pt idx="8">
                  <c:v>Ecuador</c:v>
                </c:pt>
                <c:pt idx="9">
                  <c:v>El Salvador</c:v>
                </c:pt>
                <c:pt idx="10">
                  <c:v>Guatemala</c:v>
                </c:pt>
                <c:pt idx="11">
                  <c:v>Honduras</c:v>
                </c:pt>
                <c:pt idx="12">
                  <c:v>Nicaragua</c:v>
                </c:pt>
                <c:pt idx="13">
                  <c:v>Panamá</c:v>
                </c:pt>
                <c:pt idx="14">
                  <c:v>Perú</c:v>
                </c:pt>
                <c:pt idx="15">
                  <c:v>Venezuela</c:v>
                </c:pt>
                <c:pt idx="16">
                  <c:v>Costa Rica</c:v>
                </c:pt>
              </c:strCache>
            </c:strRef>
          </c:cat>
          <c:val>
            <c:numRef>
              <c:f>Hoja1!$C$2:$C$18</c:f>
              <c:numCache>
                <c:formatCode>General</c:formatCode>
                <c:ptCount val="17"/>
                <c:pt idx="0">
                  <c:v>66.66</c:v>
                </c:pt>
                <c:pt idx="1">
                  <c:v>54.08</c:v>
                </c:pt>
                <c:pt idx="2">
                  <c:v>54.94</c:v>
                </c:pt>
                <c:pt idx="3">
                  <c:v>24.44</c:v>
                </c:pt>
                <c:pt idx="4">
                  <c:v>11.76</c:v>
                </c:pt>
                <c:pt idx="5">
                  <c:v>30.04</c:v>
                </c:pt>
                <c:pt idx="6">
                  <c:v>7.41</c:v>
                </c:pt>
                <c:pt idx="7">
                  <c:v>0</c:v>
                </c:pt>
              </c:numCache>
            </c:numRef>
          </c:val>
          <c:extLst>
            <c:ext xmlns:c16="http://schemas.microsoft.com/office/drawing/2014/chart" uri="{C3380CC4-5D6E-409C-BE32-E72D297353CC}">
              <c16:uniqueId val="{00000001-B09A-495D-A5FD-7147CB851C8F}"/>
            </c:ext>
          </c:extLst>
        </c:ser>
        <c:dLbls>
          <c:showLegendKey val="0"/>
          <c:showVal val="0"/>
          <c:showCatName val="0"/>
          <c:showSerName val="0"/>
          <c:showPercent val="0"/>
          <c:showBubbleSize val="0"/>
        </c:dLbls>
        <c:gapWidth val="150"/>
        <c:axId val="323005824"/>
        <c:axId val="341444096"/>
      </c:barChart>
      <c:catAx>
        <c:axId val="323005824"/>
        <c:scaling>
          <c:orientation val="minMax"/>
        </c:scaling>
        <c:delete val="0"/>
        <c:axPos val="b"/>
        <c:numFmt formatCode="General" sourceLinked="0"/>
        <c:majorTickMark val="out"/>
        <c:minorTickMark val="none"/>
        <c:tickLblPos val="nextTo"/>
        <c:crossAx val="341444096"/>
        <c:crosses val="autoZero"/>
        <c:auto val="1"/>
        <c:lblAlgn val="ctr"/>
        <c:lblOffset val="100"/>
        <c:noMultiLvlLbl val="0"/>
      </c:catAx>
      <c:valAx>
        <c:axId val="341444096"/>
        <c:scaling>
          <c:orientation val="minMax"/>
        </c:scaling>
        <c:delete val="0"/>
        <c:axPos val="l"/>
        <c:majorGridlines/>
        <c:numFmt formatCode="General" sourceLinked="1"/>
        <c:majorTickMark val="out"/>
        <c:minorTickMark val="none"/>
        <c:tickLblPos val="nextTo"/>
        <c:crossAx val="32300582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200"/>
            </a:pPr>
            <a:r>
              <a:rPr lang="es-MX" sz="1200" b="0"/>
              <a:t>Gráfica 2. Indice de transparencia legislativa</a:t>
            </a:r>
          </a:p>
        </c:rich>
      </c:tx>
      <c:overlay val="0"/>
    </c:title>
    <c:autoTitleDeleted val="0"/>
    <c:plotArea>
      <c:layout/>
      <c:radarChart>
        <c:radarStyle val="marker"/>
        <c:varyColors val="0"/>
        <c:ser>
          <c:idx val="0"/>
          <c:order val="0"/>
          <c:tx>
            <c:strRef>
              <c:f>Hoja1!$B$1</c:f>
              <c:strCache>
                <c:ptCount val="1"/>
                <c:pt idx="0">
                  <c:v>Normativa</c:v>
                </c:pt>
              </c:strCache>
            </c:strRef>
          </c:tx>
          <c:marker>
            <c:symbol val="none"/>
          </c:marker>
          <c:cat>
            <c:strRef>
              <c:f>Hoja1!$A$2:$A$10</c:f>
              <c:strCache>
                <c:ptCount val="9"/>
                <c:pt idx="0">
                  <c:v>Argentina</c:v>
                </c:pt>
                <c:pt idx="1">
                  <c:v>Bolivia</c:v>
                </c:pt>
                <c:pt idx="2">
                  <c:v>Chile</c:v>
                </c:pt>
                <c:pt idx="3">
                  <c:v>Colombia</c:v>
                </c:pt>
                <c:pt idx="4">
                  <c:v>Ecuador</c:v>
                </c:pt>
                <c:pt idx="5">
                  <c:v>Guatemala</c:v>
                </c:pt>
                <c:pt idx="6">
                  <c:v>México</c:v>
                </c:pt>
                <c:pt idx="7">
                  <c:v>Perú</c:v>
                </c:pt>
                <c:pt idx="8">
                  <c:v>Venezuela</c:v>
                </c:pt>
              </c:strCache>
            </c:strRef>
          </c:cat>
          <c:val>
            <c:numRef>
              <c:f>Hoja1!$B$2:$B$10</c:f>
              <c:numCache>
                <c:formatCode>0.00</c:formatCode>
                <c:ptCount val="9"/>
                <c:pt idx="0">
                  <c:v>0.46</c:v>
                </c:pt>
                <c:pt idx="1">
                  <c:v>0.3</c:v>
                </c:pt>
                <c:pt idx="2">
                  <c:v>0.49</c:v>
                </c:pt>
                <c:pt idx="3">
                  <c:v>0.35</c:v>
                </c:pt>
                <c:pt idx="4">
                  <c:v>0.51</c:v>
                </c:pt>
                <c:pt idx="5">
                  <c:v>0.43</c:v>
                </c:pt>
                <c:pt idx="6">
                  <c:v>0.47</c:v>
                </c:pt>
                <c:pt idx="7">
                  <c:v>0.59</c:v>
                </c:pt>
                <c:pt idx="8">
                  <c:v>0.32</c:v>
                </c:pt>
              </c:numCache>
            </c:numRef>
          </c:val>
          <c:extLst>
            <c:ext xmlns:c16="http://schemas.microsoft.com/office/drawing/2014/chart" uri="{C3380CC4-5D6E-409C-BE32-E72D297353CC}">
              <c16:uniqueId val="{00000000-9148-48F6-B806-D578B8F14D5A}"/>
            </c:ext>
          </c:extLst>
        </c:ser>
        <c:ser>
          <c:idx val="1"/>
          <c:order val="1"/>
          <c:tx>
            <c:strRef>
              <c:f>Hoja1!$C$1</c:f>
              <c:strCache>
                <c:ptCount val="1"/>
                <c:pt idx="0">
                  <c:v>labor del Congreso</c:v>
                </c:pt>
              </c:strCache>
            </c:strRef>
          </c:tx>
          <c:marker>
            <c:symbol val="none"/>
          </c:marker>
          <c:cat>
            <c:strRef>
              <c:f>Hoja1!$A$2:$A$10</c:f>
              <c:strCache>
                <c:ptCount val="9"/>
                <c:pt idx="0">
                  <c:v>Argentina</c:v>
                </c:pt>
                <c:pt idx="1">
                  <c:v>Bolivia</c:v>
                </c:pt>
                <c:pt idx="2">
                  <c:v>Chile</c:v>
                </c:pt>
                <c:pt idx="3">
                  <c:v>Colombia</c:v>
                </c:pt>
                <c:pt idx="4">
                  <c:v>Ecuador</c:v>
                </c:pt>
                <c:pt idx="5">
                  <c:v>Guatemala</c:v>
                </c:pt>
                <c:pt idx="6">
                  <c:v>México</c:v>
                </c:pt>
                <c:pt idx="7">
                  <c:v>Perú</c:v>
                </c:pt>
                <c:pt idx="8">
                  <c:v>Venezuela</c:v>
                </c:pt>
              </c:strCache>
            </c:strRef>
          </c:cat>
          <c:val>
            <c:numRef>
              <c:f>Hoja1!$C$2:$C$10</c:f>
              <c:numCache>
                <c:formatCode>0.00</c:formatCode>
                <c:ptCount val="9"/>
                <c:pt idx="0">
                  <c:v>0.56999999999999995</c:v>
                </c:pt>
                <c:pt idx="1">
                  <c:v>0.24</c:v>
                </c:pt>
                <c:pt idx="2">
                  <c:v>0.49</c:v>
                </c:pt>
                <c:pt idx="3">
                  <c:v>0.46</c:v>
                </c:pt>
                <c:pt idx="4">
                  <c:v>0.42</c:v>
                </c:pt>
                <c:pt idx="5">
                  <c:v>0.52</c:v>
                </c:pt>
                <c:pt idx="6">
                  <c:v>0.46</c:v>
                </c:pt>
                <c:pt idx="7">
                  <c:v>0.6</c:v>
                </c:pt>
                <c:pt idx="8">
                  <c:v>0.12</c:v>
                </c:pt>
              </c:numCache>
            </c:numRef>
          </c:val>
          <c:extLst>
            <c:ext xmlns:c16="http://schemas.microsoft.com/office/drawing/2014/chart" uri="{C3380CC4-5D6E-409C-BE32-E72D297353CC}">
              <c16:uniqueId val="{00000001-9148-48F6-B806-D578B8F14D5A}"/>
            </c:ext>
          </c:extLst>
        </c:ser>
        <c:ser>
          <c:idx val="2"/>
          <c:order val="2"/>
          <c:tx>
            <c:strRef>
              <c:f>Hoja1!$D$1</c:f>
              <c:strCache>
                <c:ptCount val="1"/>
                <c:pt idx="0">
                  <c:v>presupuesto</c:v>
                </c:pt>
              </c:strCache>
            </c:strRef>
          </c:tx>
          <c:marker>
            <c:symbol val="none"/>
          </c:marker>
          <c:cat>
            <c:strRef>
              <c:f>Hoja1!$A$2:$A$10</c:f>
              <c:strCache>
                <c:ptCount val="9"/>
                <c:pt idx="0">
                  <c:v>Argentina</c:v>
                </c:pt>
                <c:pt idx="1">
                  <c:v>Bolivia</c:v>
                </c:pt>
                <c:pt idx="2">
                  <c:v>Chile</c:v>
                </c:pt>
                <c:pt idx="3">
                  <c:v>Colombia</c:v>
                </c:pt>
                <c:pt idx="4">
                  <c:v>Ecuador</c:v>
                </c:pt>
                <c:pt idx="5">
                  <c:v>Guatemala</c:v>
                </c:pt>
                <c:pt idx="6">
                  <c:v>México</c:v>
                </c:pt>
                <c:pt idx="7">
                  <c:v>Perú</c:v>
                </c:pt>
                <c:pt idx="8">
                  <c:v>Venezuela</c:v>
                </c:pt>
              </c:strCache>
            </c:strRef>
          </c:cat>
          <c:val>
            <c:numRef>
              <c:f>Hoja1!$D$2:$D$10</c:f>
              <c:numCache>
                <c:formatCode>0.00</c:formatCode>
                <c:ptCount val="9"/>
                <c:pt idx="0">
                  <c:v>0.17</c:v>
                </c:pt>
                <c:pt idx="1">
                  <c:v>0.13</c:v>
                </c:pt>
                <c:pt idx="2">
                  <c:v>0.5</c:v>
                </c:pt>
                <c:pt idx="3">
                  <c:v>0.25</c:v>
                </c:pt>
                <c:pt idx="4">
                  <c:v>0.36</c:v>
                </c:pt>
                <c:pt idx="5">
                  <c:v>0.32</c:v>
                </c:pt>
                <c:pt idx="6">
                  <c:v>0.21</c:v>
                </c:pt>
                <c:pt idx="7">
                  <c:v>0.32</c:v>
                </c:pt>
                <c:pt idx="8">
                  <c:v>0.12</c:v>
                </c:pt>
              </c:numCache>
            </c:numRef>
          </c:val>
          <c:extLst>
            <c:ext xmlns:c16="http://schemas.microsoft.com/office/drawing/2014/chart" uri="{C3380CC4-5D6E-409C-BE32-E72D297353CC}">
              <c16:uniqueId val="{00000002-9148-48F6-B806-D578B8F14D5A}"/>
            </c:ext>
          </c:extLst>
        </c:ser>
        <c:ser>
          <c:idx val="3"/>
          <c:order val="3"/>
          <c:tx>
            <c:strRef>
              <c:f>Hoja1!$E$1</c:f>
              <c:strCache>
                <c:ptCount val="1"/>
                <c:pt idx="0">
                  <c:v>Participación ciudadana</c:v>
                </c:pt>
              </c:strCache>
            </c:strRef>
          </c:tx>
          <c:marker>
            <c:symbol val="none"/>
          </c:marker>
          <c:cat>
            <c:strRef>
              <c:f>Hoja1!$A$2:$A$10</c:f>
              <c:strCache>
                <c:ptCount val="9"/>
                <c:pt idx="0">
                  <c:v>Argentina</c:v>
                </c:pt>
                <c:pt idx="1">
                  <c:v>Bolivia</c:v>
                </c:pt>
                <c:pt idx="2">
                  <c:v>Chile</c:v>
                </c:pt>
                <c:pt idx="3">
                  <c:v>Colombia</c:v>
                </c:pt>
                <c:pt idx="4">
                  <c:v>Ecuador</c:v>
                </c:pt>
                <c:pt idx="5">
                  <c:v>Guatemala</c:v>
                </c:pt>
                <c:pt idx="6">
                  <c:v>México</c:v>
                </c:pt>
                <c:pt idx="7">
                  <c:v>Perú</c:v>
                </c:pt>
                <c:pt idx="8">
                  <c:v>Venezuela</c:v>
                </c:pt>
              </c:strCache>
            </c:strRef>
          </c:cat>
          <c:val>
            <c:numRef>
              <c:f>Hoja1!$E$2:$E$10</c:f>
              <c:numCache>
                <c:formatCode>0.00</c:formatCode>
                <c:ptCount val="9"/>
                <c:pt idx="0">
                  <c:v>0.23</c:v>
                </c:pt>
                <c:pt idx="1">
                  <c:v>0.31</c:v>
                </c:pt>
                <c:pt idx="2">
                  <c:v>0.65</c:v>
                </c:pt>
                <c:pt idx="3">
                  <c:v>0.45</c:v>
                </c:pt>
                <c:pt idx="4">
                  <c:v>0.68</c:v>
                </c:pt>
                <c:pt idx="5">
                  <c:v>0.55000000000000004</c:v>
                </c:pt>
                <c:pt idx="6">
                  <c:v>0.33</c:v>
                </c:pt>
                <c:pt idx="7">
                  <c:v>0.68</c:v>
                </c:pt>
                <c:pt idx="8">
                  <c:v>0.27</c:v>
                </c:pt>
              </c:numCache>
            </c:numRef>
          </c:val>
          <c:extLst>
            <c:ext xmlns:c16="http://schemas.microsoft.com/office/drawing/2014/chart" uri="{C3380CC4-5D6E-409C-BE32-E72D297353CC}">
              <c16:uniqueId val="{00000003-9148-48F6-B806-D578B8F14D5A}"/>
            </c:ext>
          </c:extLst>
        </c:ser>
        <c:dLbls>
          <c:showLegendKey val="0"/>
          <c:showVal val="0"/>
          <c:showCatName val="0"/>
          <c:showSerName val="0"/>
          <c:showPercent val="0"/>
          <c:showBubbleSize val="0"/>
        </c:dLbls>
        <c:axId val="309457280"/>
        <c:axId val="309459200"/>
      </c:radarChart>
      <c:catAx>
        <c:axId val="309457280"/>
        <c:scaling>
          <c:orientation val="minMax"/>
        </c:scaling>
        <c:delete val="0"/>
        <c:axPos val="b"/>
        <c:majorGridlines/>
        <c:title>
          <c:overlay val="0"/>
        </c:title>
        <c:numFmt formatCode="General" sourceLinked="1"/>
        <c:majorTickMark val="none"/>
        <c:minorTickMark val="none"/>
        <c:tickLblPos val="nextTo"/>
        <c:txPr>
          <a:bodyPr/>
          <a:lstStyle/>
          <a:p>
            <a:pPr>
              <a:defRPr sz="800"/>
            </a:pPr>
            <a:endParaRPr lang="es-MX"/>
          </a:p>
        </c:txPr>
        <c:crossAx val="309459200"/>
        <c:crosses val="autoZero"/>
        <c:auto val="1"/>
        <c:lblAlgn val="ctr"/>
        <c:lblOffset val="100"/>
        <c:noMultiLvlLbl val="0"/>
      </c:catAx>
      <c:valAx>
        <c:axId val="309459200"/>
        <c:scaling>
          <c:orientation val="minMax"/>
        </c:scaling>
        <c:delete val="1"/>
        <c:axPos val="l"/>
        <c:majorGridlines/>
        <c:title>
          <c:overlay val="0"/>
        </c:title>
        <c:numFmt formatCode="0.00" sourceLinked="1"/>
        <c:majorTickMark val="none"/>
        <c:minorTickMark val="none"/>
        <c:tickLblPos val="nextTo"/>
        <c:crossAx val="309457280"/>
        <c:crosses val="autoZero"/>
        <c:crossBetween val="between"/>
      </c:valAx>
    </c:plotArea>
    <c:legend>
      <c:legendPos val="r"/>
      <c:overlay val="0"/>
      <c:txPr>
        <a:bodyPr/>
        <a:lstStyle/>
        <a:p>
          <a:pPr>
            <a:defRPr sz="800"/>
          </a:pPr>
          <a:endParaRPr lang="es-MX"/>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26</Pages>
  <Words>7051</Words>
  <Characters>38784</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JOE</cp:lastModifiedBy>
  <cp:revision>4</cp:revision>
  <dcterms:created xsi:type="dcterms:W3CDTF">2016-07-03T17:05:00Z</dcterms:created>
  <dcterms:modified xsi:type="dcterms:W3CDTF">2017-03-15T14:06:00Z</dcterms:modified>
</cp:coreProperties>
</file>