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9A5" w:rsidRDefault="003749A5" w:rsidP="00C97452">
      <w:pPr>
        <w:jc w:val="right"/>
        <w:rPr>
          <w:rFonts w:ascii="Arial" w:hAnsi="Arial" w:cs="Arial"/>
          <w:b/>
          <w:sz w:val="28"/>
          <w:szCs w:val="28"/>
        </w:rPr>
      </w:pPr>
      <w:r w:rsidRPr="00C97452">
        <w:rPr>
          <w:rFonts w:ascii="Calibri" w:eastAsia="Calibri" w:hAnsi="Calibri" w:cs="Calibri"/>
          <w:color w:val="7030A0"/>
          <w:sz w:val="36"/>
          <w:szCs w:val="36"/>
          <w:lang w:val="es-ES"/>
        </w:rPr>
        <w:t xml:space="preserve">Ciudadanía: derechos y responsabilidades </w:t>
      </w:r>
      <w:r w:rsidR="00810F63" w:rsidRPr="00C97452">
        <w:rPr>
          <w:rFonts w:ascii="Calibri" w:eastAsia="Calibri" w:hAnsi="Calibri" w:cs="Calibri"/>
          <w:color w:val="7030A0"/>
          <w:sz w:val="36"/>
          <w:szCs w:val="36"/>
          <w:lang w:val="es-ES"/>
        </w:rPr>
        <w:t>de</w:t>
      </w:r>
      <w:r w:rsidRPr="00C97452">
        <w:rPr>
          <w:rFonts w:ascii="Calibri" w:eastAsia="Calibri" w:hAnsi="Calibri" w:cs="Calibri"/>
          <w:color w:val="7030A0"/>
          <w:sz w:val="36"/>
          <w:szCs w:val="36"/>
          <w:lang w:val="es-ES"/>
        </w:rPr>
        <w:t xml:space="preserve"> mujeres y hombres jóvenes</w:t>
      </w:r>
      <w:r w:rsidR="00810F63" w:rsidRPr="00C97452">
        <w:rPr>
          <w:rFonts w:ascii="Calibri" w:eastAsia="Calibri" w:hAnsi="Calibri" w:cs="Calibri"/>
          <w:color w:val="7030A0"/>
          <w:sz w:val="36"/>
          <w:szCs w:val="36"/>
          <w:lang w:val="es-ES"/>
        </w:rPr>
        <w:t xml:space="preserve"> en</w:t>
      </w:r>
      <w:r w:rsidRPr="00C97452">
        <w:rPr>
          <w:rFonts w:ascii="Calibri" w:eastAsia="Calibri" w:hAnsi="Calibri" w:cs="Calibri"/>
          <w:color w:val="7030A0"/>
          <w:sz w:val="36"/>
          <w:szCs w:val="36"/>
          <w:lang w:val="es-ES"/>
        </w:rPr>
        <w:t xml:space="preserve"> un contexto de violencia estructural</w:t>
      </w:r>
      <w:r w:rsidRPr="005F5DD4">
        <w:rPr>
          <w:rStyle w:val="Refdenotaalpie"/>
          <w:rFonts w:ascii="Arial" w:hAnsi="Arial" w:cs="Arial"/>
          <w:b/>
          <w:sz w:val="28"/>
          <w:szCs w:val="28"/>
        </w:rPr>
        <w:footnoteReference w:customMarkFollows="1" w:id="1"/>
        <w:sym w:font="Symbol" w:char="F02A"/>
      </w:r>
    </w:p>
    <w:p w:rsidR="00C97452" w:rsidRPr="001E4196" w:rsidRDefault="00D05A8D" w:rsidP="00C97452">
      <w:pPr>
        <w:jc w:val="right"/>
        <w:rPr>
          <w:rFonts w:ascii="Calibri" w:eastAsia="Calibri" w:hAnsi="Calibri" w:cs="Calibri"/>
          <w:i/>
          <w:color w:val="7030A0"/>
          <w:szCs w:val="36"/>
          <w:lang w:val="en-US"/>
        </w:rPr>
      </w:pPr>
      <w:r w:rsidRPr="001E4196">
        <w:rPr>
          <w:rFonts w:eastAsia="Calibri" w:cs="Calibri"/>
          <w:i/>
          <w:color w:val="7030A0"/>
          <w:sz w:val="28"/>
          <w:szCs w:val="36"/>
          <w:lang w:val="en-US"/>
        </w:rPr>
        <w:t>Citizenship: rights and responsibilities of young women and men in a context of structural violence</w:t>
      </w:r>
    </w:p>
    <w:p w:rsidR="00C97452" w:rsidRPr="001E4196" w:rsidRDefault="00C97452" w:rsidP="00C97452">
      <w:pPr>
        <w:jc w:val="right"/>
        <w:rPr>
          <w:rFonts w:ascii="Arial" w:hAnsi="Arial" w:cs="Arial"/>
          <w:b/>
          <w:sz w:val="28"/>
          <w:szCs w:val="28"/>
          <w:lang w:val="en-US"/>
        </w:rPr>
      </w:pPr>
    </w:p>
    <w:p w:rsidR="003749A5" w:rsidRDefault="003749A5" w:rsidP="003749A5">
      <w:pPr>
        <w:jc w:val="right"/>
        <w:rPr>
          <w:rFonts w:ascii="Arial" w:hAnsi="Arial" w:cs="Arial"/>
          <w:sz w:val="24"/>
          <w:szCs w:val="24"/>
        </w:rPr>
      </w:pPr>
      <w:r w:rsidRPr="00C97452">
        <w:rPr>
          <w:rFonts w:ascii="Calibri" w:eastAsia="Calibri" w:hAnsi="Calibri" w:cs="Calibri"/>
          <w:b/>
          <w:sz w:val="24"/>
          <w:szCs w:val="24"/>
          <w:lang w:val="es-ES"/>
        </w:rPr>
        <w:t>Sergio Pacheco González</w:t>
      </w:r>
      <w:r w:rsidR="00C97452">
        <w:rPr>
          <w:rFonts w:ascii="Arial" w:hAnsi="Arial" w:cs="Arial"/>
          <w:sz w:val="24"/>
          <w:szCs w:val="24"/>
        </w:rPr>
        <w:br/>
      </w:r>
      <w:r w:rsidR="00C97452" w:rsidRPr="00C97452">
        <w:rPr>
          <w:rFonts w:ascii="Times New Roman" w:eastAsia="Times New Roman" w:hAnsi="Times New Roman" w:cs="Times New Roman"/>
          <w:sz w:val="24"/>
          <w:szCs w:val="24"/>
          <w:lang w:val="es-ES_tradnl"/>
        </w:rPr>
        <w:t>Universidad Autónoma de Ciudad Juárez</w:t>
      </w:r>
      <w:r w:rsidR="001E4196">
        <w:rPr>
          <w:rFonts w:ascii="Calibri" w:eastAsia="Calibri" w:hAnsi="Calibri" w:cs="Calibri"/>
          <w:iCs/>
          <w:sz w:val="24"/>
          <w:lang w:val="es-ES"/>
        </w:rPr>
        <w:t>, México</w:t>
      </w:r>
      <w:bookmarkStart w:id="0" w:name="_GoBack"/>
      <w:bookmarkEnd w:id="0"/>
      <w:r w:rsidR="00C97452">
        <w:rPr>
          <w:lang w:val="es-MX"/>
        </w:rPr>
        <w:br/>
      </w:r>
      <w:r w:rsidR="00C97452" w:rsidRPr="00C97452">
        <w:rPr>
          <w:rStyle w:val="Hipervnculo"/>
          <w:rFonts w:ascii="Calibri" w:eastAsia="Calibri" w:hAnsi="Calibri" w:cs="Calibri"/>
          <w:color w:val="FF0000"/>
          <w:sz w:val="24"/>
          <w:u w:val="none"/>
        </w:rPr>
        <w:t>sergio.pacheco@uacj.mx</w:t>
      </w:r>
    </w:p>
    <w:p w:rsidR="005F5DD4" w:rsidRDefault="005F5DD4" w:rsidP="00AB7FC9">
      <w:pPr>
        <w:rPr>
          <w:rFonts w:ascii="Arial" w:hAnsi="Arial" w:cs="Arial"/>
          <w:b/>
          <w:sz w:val="24"/>
          <w:szCs w:val="24"/>
        </w:rPr>
      </w:pPr>
    </w:p>
    <w:p w:rsidR="005F5DD4" w:rsidRDefault="005F5DD4" w:rsidP="00AB7FC9">
      <w:pPr>
        <w:rPr>
          <w:rFonts w:ascii="Arial" w:hAnsi="Arial" w:cs="Arial"/>
          <w:b/>
          <w:sz w:val="24"/>
          <w:szCs w:val="24"/>
        </w:rPr>
      </w:pPr>
    </w:p>
    <w:p w:rsidR="003749A5" w:rsidRPr="004B091A" w:rsidRDefault="003749A5" w:rsidP="00AB7FC9">
      <w:pPr>
        <w:rPr>
          <w:rFonts w:ascii="Arial" w:hAnsi="Arial" w:cs="Arial"/>
          <w:b/>
          <w:sz w:val="24"/>
          <w:szCs w:val="24"/>
        </w:rPr>
      </w:pPr>
      <w:r w:rsidRPr="00C97452">
        <w:rPr>
          <w:rFonts w:ascii="Calibri" w:eastAsia="Times New Roman" w:hAnsi="Calibri" w:cs="Calibri"/>
          <w:color w:val="7030A0"/>
          <w:sz w:val="28"/>
          <w:szCs w:val="28"/>
          <w:lang w:val="es-ES" w:eastAsia="es-ES"/>
        </w:rPr>
        <w:t>Resumen</w:t>
      </w:r>
    </w:p>
    <w:p w:rsidR="003749A5" w:rsidRPr="00C97452" w:rsidRDefault="003749A5" w:rsidP="00C97452">
      <w:pPr>
        <w:pStyle w:val="Ttulo2"/>
        <w:spacing w:before="0" w:after="120" w:line="360" w:lineRule="auto"/>
        <w:jc w:val="both"/>
        <w:rPr>
          <w:rFonts w:ascii="Times New Roman" w:eastAsiaTheme="minorHAnsi" w:hAnsi="Times New Roman" w:cs="Times New Roman"/>
          <w:b w:val="0"/>
          <w:bCs w:val="0"/>
          <w:color w:val="auto"/>
          <w:sz w:val="24"/>
          <w:szCs w:val="24"/>
        </w:rPr>
      </w:pPr>
      <w:r w:rsidRPr="00C97452">
        <w:rPr>
          <w:rFonts w:ascii="Times New Roman" w:eastAsiaTheme="minorHAnsi" w:hAnsi="Times New Roman" w:cs="Times New Roman"/>
          <w:b w:val="0"/>
          <w:bCs w:val="0"/>
          <w:color w:val="auto"/>
          <w:sz w:val="24"/>
          <w:szCs w:val="24"/>
        </w:rPr>
        <w:t xml:space="preserve">Asumiendo que el concepto de ciudadanía alude a derechos y responsabilidades, en este texto se presentan los resultados de una exploración realizada con adolescentes y jóvenes residentes en Ciudad Juárez con la intención de ilustrar posibles semejanzas y diferencias que pudieran asociarse a su condición etaria y de género. Para ello, primero se presenta una breve descripción </w:t>
      </w:r>
      <w:r w:rsidR="00545B92" w:rsidRPr="00C97452">
        <w:rPr>
          <w:rFonts w:ascii="Times New Roman" w:eastAsiaTheme="minorHAnsi" w:hAnsi="Times New Roman" w:cs="Times New Roman"/>
          <w:b w:val="0"/>
          <w:bCs w:val="0"/>
          <w:color w:val="auto"/>
          <w:sz w:val="24"/>
          <w:szCs w:val="24"/>
        </w:rPr>
        <w:t xml:space="preserve">de la violencia estructural presente en </w:t>
      </w:r>
      <w:r w:rsidRPr="00C97452">
        <w:rPr>
          <w:rFonts w:ascii="Times New Roman" w:eastAsiaTheme="minorHAnsi" w:hAnsi="Times New Roman" w:cs="Times New Roman"/>
          <w:b w:val="0"/>
          <w:bCs w:val="0"/>
          <w:color w:val="auto"/>
          <w:sz w:val="24"/>
          <w:szCs w:val="24"/>
        </w:rPr>
        <w:t xml:space="preserve">el contexto juarense, seguido de </w:t>
      </w:r>
      <w:r w:rsidR="00545B92" w:rsidRPr="00C97452">
        <w:rPr>
          <w:rFonts w:ascii="Times New Roman" w:eastAsiaTheme="minorHAnsi" w:hAnsi="Times New Roman" w:cs="Times New Roman"/>
          <w:b w:val="0"/>
          <w:bCs w:val="0"/>
          <w:color w:val="auto"/>
          <w:sz w:val="24"/>
          <w:szCs w:val="24"/>
        </w:rPr>
        <w:t>un sucinto perfil de las juventudes en Ciudad Juárez.</w:t>
      </w:r>
      <w:r w:rsidRPr="00C97452">
        <w:rPr>
          <w:rFonts w:ascii="Times New Roman" w:eastAsiaTheme="minorHAnsi" w:hAnsi="Times New Roman" w:cs="Times New Roman"/>
          <w:b w:val="0"/>
          <w:bCs w:val="0"/>
          <w:color w:val="auto"/>
          <w:sz w:val="24"/>
          <w:szCs w:val="24"/>
        </w:rPr>
        <w:t xml:space="preserve"> En el tercer apartado se describen los hallazgos obtenidos en el trabajo de campo, para concluir con un apartado donde se elabora una reflexión sobre los mismos. </w:t>
      </w:r>
    </w:p>
    <w:p w:rsidR="00C97452" w:rsidRPr="00562EDD" w:rsidRDefault="00C97452" w:rsidP="00C97452">
      <w:pPr>
        <w:spacing w:line="360" w:lineRule="auto"/>
        <w:jc w:val="both"/>
        <w:rPr>
          <w:rFonts w:ascii="Arial" w:hAnsi="Arial" w:cs="Arial"/>
          <w:sz w:val="24"/>
          <w:szCs w:val="24"/>
          <w:lang w:val="es-MX"/>
        </w:rPr>
      </w:pPr>
      <w:r w:rsidRPr="00C97452">
        <w:rPr>
          <w:rFonts w:ascii="Calibri" w:eastAsia="Times New Roman" w:hAnsi="Calibri" w:cs="Calibri"/>
          <w:color w:val="7030A0"/>
          <w:sz w:val="28"/>
          <w:szCs w:val="28"/>
          <w:lang w:val="es-ES" w:eastAsia="es-ES"/>
        </w:rPr>
        <w:t>Palabras clave:</w:t>
      </w:r>
      <w:r w:rsidRPr="0082007C">
        <w:rPr>
          <w:rFonts w:ascii="Arial" w:hAnsi="Arial" w:cs="Arial"/>
          <w:b/>
          <w:sz w:val="24"/>
          <w:szCs w:val="24"/>
          <w:lang w:val="es-MX"/>
        </w:rPr>
        <w:t xml:space="preserve"> </w:t>
      </w:r>
      <w:r w:rsidRPr="00C97452">
        <w:rPr>
          <w:rFonts w:ascii="Times New Roman" w:hAnsi="Times New Roman" w:cs="Times New Roman"/>
          <w:sz w:val="24"/>
          <w:szCs w:val="24"/>
        </w:rPr>
        <w:t>violencia estructural, juventudes, Ciudad Juárez, derechos, responsabilidades.</w:t>
      </w:r>
    </w:p>
    <w:p w:rsidR="00D05A8D" w:rsidRPr="001E4196" w:rsidRDefault="00D05A8D" w:rsidP="00D05A8D">
      <w:pPr>
        <w:rPr>
          <w:lang w:val="en-US"/>
        </w:rPr>
      </w:pPr>
      <w:r w:rsidRPr="001E4196">
        <w:rPr>
          <w:rFonts w:eastAsia="Times New Roman" w:cs="Calibri"/>
          <w:color w:val="7030A0"/>
          <w:sz w:val="28"/>
          <w:szCs w:val="28"/>
          <w:lang w:val="en-US" w:eastAsia="es-ES"/>
        </w:rPr>
        <w:t>Abstract</w:t>
      </w:r>
    </w:p>
    <w:p w:rsidR="00D05A8D" w:rsidRPr="001E4196" w:rsidRDefault="00D05A8D" w:rsidP="00D05A8D">
      <w:pPr>
        <w:spacing w:after="120" w:line="360" w:lineRule="auto"/>
        <w:jc w:val="both"/>
        <w:rPr>
          <w:lang w:val="en-US"/>
        </w:rPr>
      </w:pPr>
      <w:r w:rsidRPr="001E4196">
        <w:rPr>
          <w:rFonts w:ascii="Times New Roman" w:hAnsi="Times New Roman" w:cs="Times New Roman"/>
          <w:color w:val="00000A"/>
          <w:sz w:val="24"/>
          <w:szCs w:val="24"/>
          <w:lang w:val="en-US"/>
        </w:rPr>
        <w:t xml:space="preserve">Assuming that the concept of citizenship refers to rights and responsibilities, this text presents the results of a scan made with teens and young residents in Ciudad Juarez with the intention to illustrate possible similarities and differences which could be associated to </w:t>
      </w:r>
      <w:r w:rsidRPr="001E4196">
        <w:rPr>
          <w:rFonts w:ascii="Times New Roman" w:hAnsi="Times New Roman" w:cs="Times New Roman"/>
          <w:color w:val="00000A"/>
          <w:sz w:val="24"/>
          <w:szCs w:val="24"/>
          <w:lang w:val="en-US"/>
        </w:rPr>
        <w:lastRenderedPageBreak/>
        <w:t>their age status and gender. To do this, first is a brief description of the structural violence present in the context of Juárez, followed by a concise profile of youths in Ciudad Juárez. The third section describes findings from field work, to conclude with a paragraph which produces a reflection about them</w:t>
      </w:r>
      <w:r w:rsidRPr="001E4196">
        <w:rPr>
          <w:rFonts w:ascii="Times New Roman" w:hAnsi="Times New Roman" w:cs="Times New Roman"/>
          <w:sz w:val="24"/>
          <w:szCs w:val="24"/>
          <w:lang w:val="en-US"/>
        </w:rPr>
        <w:t>.</w:t>
      </w:r>
    </w:p>
    <w:p w:rsidR="003749A5" w:rsidRDefault="00D05A8D" w:rsidP="00D05A8D">
      <w:pPr>
        <w:rPr>
          <w:rFonts w:ascii="Arial" w:hAnsi="Arial" w:cs="Arial"/>
          <w:b/>
          <w:bCs/>
          <w:sz w:val="24"/>
          <w:szCs w:val="24"/>
          <w:lang w:val="en-US"/>
        </w:rPr>
      </w:pPr>
      <w:r w:rsidRPr="001E4196">
        <w:rPr>
          <w:rFonts w:eastAsia="Times New Roman" w:cs="Calibri"/>
          <w:color w:val="7030A0"/>
          <w:sz w:val="28"/>
          <w:szCs w:val="28"/>
          <w:lang w:val="en-US" w:eastAsia="es-ES"/>
        </w:rPr>
        <w:t>Key words:</w:t>
      </w:r>
      <w:r>
        <w:rPr>
          <w:rFonts w:ascii="Arial" w:hAnsi="Arial" w:cs="Arial"/>
          <w:b/>
          <w:sz w:val="24"/>
          <w:szCs w:val="24"/>
          <w:lang w:val="en-US"/>
        </w:rPr>
        <w:t xml:space="preserve"> </w:t>
      </w:r>
      <w:r w:rsidRPr="001E4196">
        <w:rPr>
          <w:rFonts w:ascii="Times New Roman" w:hAnsi="Times New Roman" w:cs="Times New Roman"/>
          <w:sz w:val="24"/>
          <w:szCs w:val="24"/>
          <w:lang w:val="en-US"/>
        </w:rPr>
        <w:t>structural violence, youth, Ciudad Juárez, rights, responsibilities.</w:t>
      </w:r>
    </w:p>
    <w:p w:rsidR="007049EC" w:rsidRPr="007E3BA0" w:rsidRDefault="007049EC" w:rsidP="007049EC">
      <w:pPr>
        <w:widowControl w:val="0"/>
        <w:adjustRightInd w:val="0"/>
        <w:spacing w:line="360" w:lineRule="auto"/>
        <w:rPr>
          <w:rFonts w:cs="Calibri"/>
          <w:color w:val="7030A0"/>
          <w:sz w:val="28"/>
          <w:szCs w:val="28"/>
          <w:lang w:val="es-ES"/>
        </w:rPr>
      </w:pPr>
      <w:r w:rsidRPr="00C97452">
        <w:rPr>
          <w:rFonts w:ascii="Times New Roman" w:hAnsi="Times New Roman" w:cs="Times New Roman"/>
          <w:b/>
          <w:sz w:val="24"/>
        </w:rPr>
        <w:t>Fecha recepción:</w:t>
      </w:r>
      <w:r w:rsidRPr="00C97452">
        <w:rPr>
          <w:rFonts w:ascii="Times New Roman" w:hAnsi="Times New Roman" w:cs="Times New Roman"/>
          <w:sz w:val="24"/>
        </w:rPr>
        <w:t xml:space="preserve">   </w:t>
      </w:r>
      <w:r w:rsidR="008D4F44">
        <w:rPr>
          <w:rFonts w:ascii="Times New Roman" w:hAnsi="Times New Roman" w:cs="Times New Roman"/>
          <w:sz w:val="24"/>
        </w:rPr>
        <w:t>Noviembre</w:t>
      </w:r>
      <w:r w:rsidRPr="00C97452">
        <w:rPr>
          <w:rFonts w:ascii="Times New Roman" w:hAnsi="Times New Roman" w:cs="Times New Roman"/>
          <w:sz w:val="24"/>
        </w:rPr>
        <w:t xml:space="preserve"> 201</w:t>
      </w:r>
      <w:r w:rsidR="008D4F44">
        <w:rPr>
          <w:rFonts w:ascii="Times New Roman" w:hAnsi="Times New Roman" w:cs="Times New Roman"/>
          <w:sz w:val="24"/>
        </w:rPr>
        <w:t>4</w:t>
      </w:r>
      <w:r w:rsidRPr="00C97452">
        <w:rPr>
          <w:rFonts w:ascii="Times New Roman" w:hAnsi="Times New Roman" w:cs="Times New Roman"/>
          <w:sz w:val="24"/>
        </w:rPr>
        <w:t xml:space="preserve">          </w:t>
      </w:r>
      <w:r w:rsidRPr="00C97452">
        <w:rPr>
          <w:rFonts w:ascii="Times New Roman" w:hAnsi="Times New Roman" w:cs="Times New Roman"/>
          <w:b/>
          <w:sz w:val="24"/>
        </w:rPr>
        <w:t>Fecha aceptación:</w:t>
      </w:r>
      <w:r w:rsidRPr="00C97452">
        <w:rPr>
          <w:rFonts w:ascii="Times New Roman" w:hAnsi="Times New Roman" w:cs="Times New Roman"/>
          <w:sz w:val="24"/>
        </w:rPr>
        <w:t xml:space="preserve"> </w:t>
      </w:r>
      <w:r w:rsidR="008D4F44">
        <w:rPr>
          <w:rFonts w:ascii="Times New Roman" w:hAnsi="Times New Roman" w:cs="Times New Roman"/>
          <w:sz w:val="24"/>
        </w:rPr>
        <w:t>Mayo</w:t>
      </w:r>
      <w:r w:rsidRPr="00C97452">
        <w:rPr>
          <w:rFonts w:ascii="Times New Roman" w:hAnsi="Times New Roman" w:cs="Times New Roman"/>
          <w:sz w:val="24"/>
        </w:rPr>
        <w:t xml:space="preserve"> 2015</w:t>
      </w:r>
      <w:r>
        <w:br/>
      </w:r>
      <w:r w:rsidR="00A00AA3">
        <w:rPr>
          <w:rFonts w:cs="Calibri"/>
        </w:rPr>
        <w:pict>
          <v:rect id="_x0000_i1025" style="width:0;height:1.5pt" o:hralign="center" o:hrstd="t" o:hr="t" fillcolor="#a0a0a0" stroked="f"/>
        </w:pict>
      </w:r>
    </w:p>
    <w:p w:rsidR="00545B92" w:rsidRPr="001E4196" w:rsidRDefault="00C97452" w:rsidP="00545B92">
      <w:pPr>
        <w:rPr>
          <w:lang w:val="es-MX"/>
        </w:rPr>
      </w:pPr>
      <w:r w:rsidRPr="006860CC">
        <w:rPr>
          <w:rFonts w:ascii="Calibri" w:hAnsi="Calibri" w:cs="Calibri"/>
          <w:color w:val="7030A0"/>
          <w:sz w:val="28"/>
          <w:szCs w:val="28"/>
          <w:lang w:val="es-ES"/>
        </w:rPr>
        <w:t>Introducción</w:t>
      </w:r>
    </w:p>
    <w:p w:rsidR="00545B92" w:rsidRPr="001E4196" w:rsidRDefault="00545B92" w:rsidP="00545B92">
      <w:pPr>
        <w:rPr>
          <w:lang w:val="es-MX"/>
        </w:rPr>
      </w:pPr>
    </w:p>
    <w:p w:rsidR="003749A5" w:rsidRPr="00C97452" w:rsidRDefault="000849AE" w:rsidP="000849AE">
      <w:pPr>
        <w:spacing w:after="120" w:line="240" w:lineRule="auto"/>
        <w:rPr>
          <w:rFonts w:ascii="Arial" w:hAnsi="Arial" w:cs="Arial"/>
          <w:b/>
          <w:sz w:val="24"/>
          <w:szCs w:val="24"/>
          <w:lang w:val="es-MX"/>
        </w:rPr>
      </w:pPr>
      <w:r w:rsidRPr="00C97452">
        <w:rPr>
          <w:rFonts w:ascii="Arial" w:hAnsi="Arial" w:cs="Arial"/>
          <w:b/>
          <w:sz w:val="24"/>
          <w:szCs w:val="24"/>
          <w:lang w:val="es-MX"/>
        </w:rPr>
        <w:t xml:space="preserve">1. </w:t>
      </w:r>
      <w:r w:rsidR="005F7AB9" w:rsidRPr="00C97452">
        <w:rPr>
          <w:rFonts w:ascii="Arial" w:hAnsi="Arial" w:cs="Arial"/>
          <w:b/>
          <w:sz w:val="24"/>
          <w:szCs w:val="24"/>
          <w:lang w:val="es-MX"/>
        </w:rPr>
        <w:t>La v</w:t>
      </w:r>
      <w:r w:rsidR="003749A5" w:rsidRPr="00C97452">
        <w:rPr>
          <w:rFonts w:ascii="Arial" w:hAnsi="Arial" w:cs="Arial"/>
          <w:b/>
          <w:sz w:val="24"/>
          <w:szCs w:val="24"/>
          <w:lang w:val="es-MX"/>
        </w:rPr>
        <w:t>iolencia estructural</w:t>
      </w:r>
      <w:r w:rsidR="005F7AB9" w:rsidRPr="00C97452">
        <w:rPr>
          <w:rFonts w:ascii="Arial" w:hAnsi="Arial" w:cs="Arial"/>
          <w:b/>
          <w:sz w:val="24"/>
          <w:szCs w:val="24"/>
          <w:lang w:val="es-MX"/>
        </w:rPr>
        <w:t xml:space="preserve"> y el contexto juarense</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La Organización Mundial de la Salud (OMS) indica</w:t>
      </w:r>
      <w:r w:rsidR="00545B92" w:rsidRPr="00C97452">
        <w:rPr>
          <w:rFonts w:ascii="Times New Roman" w:hAnsi="Times New Roman" w:cs="Times New Roman"/>
          <w:sz w:val="24"/>
          <w:szCs w:val="24"/>
        </w:rPr>
        <w:t>,</w:t>
      </w:r>
      <w:r w:rsidRPr="00C97452">
        <w:rPr>
          <w:rFonts w:ascii="Times New Roman" w:hAnsi="Times New Roman" w:cs="Times New Roman"/>
          <w:sz w:val="24"/>
          <w:szCs w:val="24"/>
        </w:rPr>
        <w:t xml:space="preserve"> en su Informe Mundial</w:t>
      </w:r>
      <w:r w:rsidR="00545B92" w:rsidRPr="00C97452">
        <w:rPr>
          <w:rFonts w:ascii="Times New Roman" w:hAnsi="Times New Roman" w:cs="Times New Roman"/>
          <w:sz w:val="24"/>
          <w:szCs w:val="24"/>
        </w:rPr>
        <w:t xml:space="preserve"> sobre la Violencia y la Salud de </w:t>
      </w:r>
      <w:r w:rsidRPr="00C97452">
        <w:rPr>
          <w:rFonts w:ascii="Times New Roman" w:hAnsi="Times New Roman" w:cs="Times New Roman"/>
          <w:sz w:val="24"/>
          <w:szCs w:val="24"/>
        </w:rPr>
        <w:t>200</w:t>
      </w:r>
      <w:r w:rsidR="00545B92" w:rsidRPr="00C97452">
        <w:rPr>
          <w:rFonts w:ascii="Times New Roman" w:hAnsi="Times New Roman" w:cs="Times New Roman"/>
          <w:sz w:val="24"/>
          <w:szCs w:val="24"/>
        </w:rPr>
        <w:t>2</w:t>
      </w:r>
      <w:r w:rsidRPr="00C97452">
        <w:rPr>
          <w:rFonts w:ascii="Times New Roman" w:hAnsi="Times New Roman" w:cs="Times New Roman"/>
          <w:sz w:val="24"/>
          <w:szCs w:val="24"/>
        </w:rPr>
        <w:t>, que alrededor de 1</w:t>
      </w:r>
      <w:r w:rsidR="001946CE" w:rsidRPr="00C97452">
        <w:rPr>
          <w:rFonts w:ascii="Times New Roman" w:hAnsi="Times New Roman" w:cs="Times New Roman"/>
          <w:sz w:val="24"/>
          <w:szCs w:val="24"/>
        </w:rPr>
        <w:t>.</w:t>
      </w:r>
      <w:r w:rsidRPr="00C97452">
        <w:rPr>
          <w:rFonts w:ascii="Times New Roman" w:hAnsi="Times New Roman" w:cs="Times New Roman"/>
          <w:sz w:val="24"/>
          <w:szCs w:val="24"/>
        </w:rPr>
        <w:t xml:space="preserve">6 millones de personas mueren cada año en todo el mundo a consecuencia de la violencia </w:t>
      </w:r>
      <w:proofErr w:type="spellStart"/>
      <w:r w:rsidRPr="00C97452">
        <w:rPr>
          <w:rFonts w:ascii="Times New Roman" w:hAnsi="Times New Roman" w:cs="Times New Roman"/>
          <w:sz w:val="24"/>
          <w:szCs w:val="24"/>
        </w:rPr>
        <w:t>autoinfligida</w:t>
      </w:r>
      <w:proofErr w:type="spellEnd"/>
      <w:r w:rsidRPr="00C97452">
        <w:rPr>
          <w:rFonts w:ascii="Times New Roman" w:hAnsi="Times New Roman" w:cs="Times New Roman"/>
          <w:sz w:val="24"/>
          <w:szCs w:val="24"/>
        </w:rPr>
        <w:t xml:space="preserve">, interpersonal o colectiva. La violencia constituye así una de las principales causas de mortalidad para la población entre 15 y 44 años de edad. Considerada un problema de salud pública, la OMS define </w:t>
      </w:r>
      <w:r w:rsidR="00581C7E" w:rsidRPr="00C97452">
        <w:rPr>
          <w:rFonts w:ascii="Times New Roman" w:hAnsi="Times New Roman" w:cs="Times New Roman"/>
          <w:sz w:val="24"/>
          <w:szCs w:val="24"/>
        </w:rPr>
        <w:t xml:space="preserve">a </w:t>
      </w:r>
      <w:r w:rsidRPr="00C97452">
        <w:rPr>
          <w:rFonts w:ascii="Times New Roman" w:hAnsi="Times New Roman" w:cs="Times New Roman"/>
          <w:sz w:val="24"/>
          <w:szCs w:val="24"/>
        </w:rPr>
        <w:t xml:space="preserve">la violencia como: </w:t>
      </w:r>
    </w:p>
    <w:p w:rsidR="00E904A0" w:rsidRPr="00C97452" w:rsidRDefault="00E904A0" w:rsidP="00C97452">
      <w:pPr>
        <w:spacing w:after="0" w:line="360" w:lineRule="auto"/>
        <w:jc w:val="both"/>
        <w:rPr>
          <w:rFonts w:ascii="Times New Roman" w:hAnsi="Times New Roman" w:cs="Times New Roman"/>
          <w:sz w:val="24"/>
          <w:szCs w:val="24"/>
        </w:rPr>
      </w:pPr>
    </w:p>
    <w:p w:rsidR="003749A5" w:rsidRPr="00C97452" w:rsidRDefault="003749A5" w:rsidP="00C97452">
      <w:pPr>
        <w:spacing w:after="240" w:line="360" w:lineRule="auto"/>
        <w:ind w:left="720" w:right="720"/>
        <w:jc w:val="both"/>
        <w:rPr>
          <w:rFonts w:ascii="Times New Roman" w:hAnsi="Times New Roman" w:cs="Times New Roman"/>
          <w:sz w:val="24"/>
          <w:szCs w:val="24"/>
        </w:rPr>
      </w:pPr>
      <w:r w:rsidRPr="00C97452">
        <w:rPr>
          <w:rFonts w:ascii="Times New Roman" w:hAnsi="Times New Roman" w:cs="Times New Roman"/>
          <w:sz w:val="24"/>
          <w:szCs w:val="24"/>
        </w:rPr>
        <w:t>El uso intencional de la fuerza o el poder físico, de hecho o como amenaza, contra uno mismo, otra persona o un grupo o comunidad, que cause o tenga muchas probabilidades de causar lesiones, muerte, daños psicológicos, trastornos del desarrollo o privaciones (2003</w:t>
      </w:r>
      <w:r w:rsidR="007D347A" w:rsidRPr="00C97452">
        <w:rPr>
          <w:rFonts w:ascii="Times New Roman" w:hAnsi="Times New Roman" w:cs="Times New Roman"/>
          <w:sz w:val="24"/>
          <w:szCs w:val="24"/>
        </w:rPr>
        <w:t xml:space="preserve">, p. </w:t>
      </w:r>
      <w:r w:rsidRPr="00C97452">
        <w:rPr>
          <w:rFonts w:ascii="Times New Roman" w:hAnsi="Times New Roman" w:cs="Times New Roman"/>
          <w:sz w:val="24"/>
          <w:szCs w:val="24"/>
        </w:rPr>
        <w:t>5).</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Por su parte, el Informe sobre la situación mundial de seguridad vial 2013, presentado por la OMS (2013), indica que cada año se pierden alrededor de 1</w:t>
      </w:r>
      <w:r w:rsidR="007D347A" w:rsidRPr="00C97452">
        <w:rPr>
          <w:rFonts w:ascii="Times New Roman" w:hAnsi="Times New Roman" w:cs="Times New Roman"/>
          <w:sz w:val="24"/>
          <w:szCs w:val="24"/>
        </w:rPr>
        <w:t>.</w:t>
      </w:r>
      <w:r w:rsidRPr="00C97452">
        <w:rPr>
          <w:rFonts w:ascii="Times New Roman" w:hAnsi="Times New Roman" w:cs="Times New Roman"/>
          <w:sz w:val="24"/>
          <w:szCs w:val="24"/>
        </w:rPr>
        <w:t xml:space="preserve">24 millones de vidas por causa de accidentes de tránsito y que “lesiones causadas por el tránsito son la octava causa mundial de muerte, y la primera entre los jóvenes de 15 a 29 años”. México se encuentra, como país tipificado de ingreso medio, entre los </w:t>
      </w:r>
      <w:r w:rsidR="00BC64B8" w:rsidRPr="00C97452">
        <w:rPr>
          <w:rFonts w:ascii="Times New Roman" w:hAnsi="Times New Roman" w:cs="Times New Roman"/>
          <w:sz w:val="24"/>
          <w:szCs w:val="24"/>
        </w:rPr>
        <w:t>de</w:t>
      </w:r>
      <w:r w:rsidRPr="00C97452">
        <w:rPr>
          <w:rFonts w:ascii="Times New Roman" w:hAnsi="Times New Roman" w:cs="Times New Roman"/>
          <w:sz w:val="24"/>
          <w:szCs w:val="24"/>
        </w:rPr>
        <w:t xml:space="preserve"> mayores tasas de mortalidad por accidentes de tránsito, estimadas en “20</w:t>
      </w:r>
      <w:r w:rsidR="00E904A0" w:rsidRPr="00C97452">
        <w:rPr>
          <w:rFonts w:ascii="Times New Roman" w:hAnsi="Times New Roman" w:cs="Times New Roman"/>
          <w:sz w:val="24"/>
          <w:szCs w:val="24"/>
        </w:rPr>
        <w:t>.</w:t>
      </w:r>
      <w:r w:rsidRPr="00C97452">
        <w:rPr>
          <w:rFonts w:ascii="Times New Roman" w:hAnsi="Times New Roman" w:cs="Times New Roman"/>
          <w:sz w:val="24"/>
          <w:szCs w:val="24"/>
        </w:rPr>
        <w:t>1 por 100 000, en comparación con 8</w:t>
      </w:r>
      <w:r w:rsidR="00BC64B8" w:rsidRPr="00C97452">
        <w:rPr>
          <w:rFonts w:ascii="Times New Roman" w:hAnsi="Times New Roman" w:cs="Times New Roman"/>
          <w:sz w:val="24"/>
          <w:szCs w:val="24"/>
        </w:rPr>
        <w:t>.</w:t>
      </w:r>
      <w:r w:rsidRPr="00C97452">
        <w:rPr>
          <w:rFonts w:ascii="Times New Roman" w:hAnsi="Times New Roman" w:cs="Times New Roman"/>
          <w:sz w:val="24"/>
          <w:szCs w:val="24"/>
        </w:rPr>
        <w:t>7 en los de ingresos elevados y 18</w:t>
      </w:r>
      <w:r w:rsidR="00E904A0" w:rsidRPr="00C97452">
        <w:rPr>
          <w:rFonts w:ascii="Times New Roman" w:hAnsi="Times New Roman" w:cs="Times New Roman"/>
          <w:sz w:val="24"/>
          <w:szCs w:val="24"/>
        </w:rPr>
        <w:t>.</w:t>
      </w:r>
      <w:r w:rsidRPr="00C97452">
        <w:rPr>
          <w:rFonts w:ascii="Times New Roman" w:hAnsi="Times New Roman" w:cs="Times New Roman"/>
          <w:sz w:val="24"/>
          <w:szCs w:val="24"/>
        </w:rPr>
        <w:t>3 en los de ingresos bajos” (3). Ya en el Informe mundial sobre prevención de los traumatismos causados por el tránsito (</w:t>
      </w:r>
      <w:r w:rsidR="00136F53" w:rsidRPr="00C97452">
        <w:rPr>
          <w:rFonts w:ascii="Times New Roman" w:hAnsi="Times New Roman" w:cs="Times New Roman"/>
          <w:sz w:val="24"/>
          <w:szCs w:val="24"/>
        </w:rPr>
        <w:t xml:space="preserve">OMS, </w:t>
      </w:r>
      <w:r w:rsidRPr="00C97452">
        <w:rPr>
          <w:rFonts w:ascii="Times New Roman" w:hAnsi="Times New Roman" w:cs="Times New Roman"/>
          <w:sz w:val="24"/>
          <w:szCs w:val="24"/>
        </w:rPr>
        <w:t xml:space="preserve">2004) se señalaba que 3000 </w:t>
      </w:r>
      <w:r w:rsidRPr="00C97452">
        <w:rPr>
          <w:rFonts w:ascii="Times New Roman" w:hAnsi="Times New Roman" w:cs="Times New Roman"/>
          <w:sz w:val="24"/>
          <w:szCs w:val="24"/>
        </w:rPr>
        <w:lastRenderedPageBreak/>
        <w:t xml:space="preserve">personas mueren cada día por causa de lesiones causadas por incidentes viales y que para 2020 se estima que “las lesiones causadas por el tránsito sean el tercer responsable de la carga mundial de morbilidad y lesiones” (2). </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En 2002 y a nivel mundial, los hombres representaban 73</w:t>
      </w:r>
      <w:r w:rsidR="0082007C" w:rsidRPr="00C97452">
        <w:rPr>
          <w:rFonts w:ascii="Times New Roman" w:hAnsi="Times New Roman" w:cs="Times New Roman"/>
          <w:sz w:val="24"/>
          <w:szCs w:val="24"/>
        </w:rPr>
        <w:t xml:space="preserve"> </w:t>
      </w:r>
      <w:r w:rsidRPr="00C97452">
        <w:rPr>
          <w:rFonts w:ascii="Times New Roman" w:hAnsi="Times New Roman" w:cs="Times New Roman"/>
          <w:sz w:val="24"/>
          <w:szCs w:val="24"/>
        </w:rPr>
        <w:t>% de estas víctimas, con una tasa global que casi triplica la de las mujeres (27</w:t>
      </w:r>
      <w:r w:rsidR="0082007C" w:rsidRPr="00C97452">
        <w:rPr>
          <w:rFonts w:ascii="Times New Roman" w:hAnsi="Times New Roman" w:cs="Times New Roman"/>
          <w:sz w:val="24"/>
          <w:szCs w:val="24"/>
        </w:rPr>
        <w:t>.</w:t>
      </w:r>
      <w:r w:rsidRPr="00C97452">
        <w:rPr>
          <w:rFonts w:ascii="Times New Roman" w:hAnsi="Times New Roman" w:cs="Times New Roman"/>
          <w:sz w:val="24"/>
          <w:szCs w:val="24"/>
        </w:rPr>
        <w:t>6 por 100 000 hombres frente a 10</w:t>
      </w:r>
      <w:r w:rsidR="0082007C" w:rsidRPr="00C97452">
        <w:rPr>
          <w:rFonts w:ascii="Times New Roman" w:hAnsi="Times New Roman" w:cs="Times New Roman"/>
          <w:sz w:val="24"/>
          <w:szCs w:val="24"/>
        </w:rPr>
        <w:t>.</w:t>
      </w:r>
      <w:r w:rsidRPr="00C97452">
        <w:rPr>
          <w:rFonts w:ascii="Times New Roman" w:hAnsi="Times New Roman" w:cs="Times New Roman"/>
          <w:sz w:val="24"/>
          <w:szCs w:val="24"/>
        </w:rPr>
        <w:t>4 por 100 000 mujeres) y 70</w:t>
      </w:r>
      <w:r w:rsidR="00A3656D" w:rsidRPr="00C97452">
        <w:rPr>
          <w:rFonts w:ascii="Times New Roman" w:hAnsi="Times New Roman" w:cs="Times New Roman"/>
          <w:sz w:val="24"/>
          <w:szCs w:val="24"/>
        </w:rPr>
        <w:t xml:space="preserve"> </w:t>
      </w:r>
      <w:r w:rsidRPr="00C97452">
        <w:rPr>
          <w:rFonts w:ascii="Times New Roman" w:hAnsi="Times New Roman" w:cs="Times New Roman"/>
          <w:sz w:val="24"/>
          <w:szCs w:val="24"/>
        </w:rPr>
        <w:t>% de los años de vida ajustados en función de la discapacidad (AVAD), dato relevante si se considera el costo social y económico que representan las colisiones y lesiones subsecuentes. Al respecto la OMS calcula un costo económico en 1.5</w:t>
      </w:r>
      <w:r w:rsidR="0082007C" w:rsidRPr="00C97452">
        <w:rPr>
          <w:rFonts w:ascii="Times New Roman" w:hAnsi="Times New Roman" w:cs="Times New Roman"/>
          <w:sz w:val="24"/>
          <w:szCs w:val="24"/>
        </w:rPr>
        <w:t xml:space="preserve"> </w:t>
      </w:r>
      <w:r w:rsidRPr="00C97452">
        <w:rPr>
          <w:rFonts w:ascii="Times New Roman" w:hAnsi="Times New Roman" w:cs="Times New Roman"/>
          <w:sz w:val="24"/>
          <w:szCs w:val="24"/>
        </w:rPr>
        <w:t>% del producto nacional bruto en los países de ingresos medios y en 18</w:t>
      </w:r>
      <w:r w:rsidR="0082007C" w:rsidRPr="00C97452">
        <w:rPr>
          <w:rFonts w:ascii="Times New Roman" w:hAnsi="Times New Roman" w:cs="Times New Roman"/>
          <w:sz w:val="24"/>
          <w:szCs w:val="24"/>
        </w:rPr>
        <w:t xml:space="preserve"> </w:t>
      </w:r>
      <w:r w:rsidRPr="00C97452">
        <w:rPr>
          <w:rFonts w:ascii="Times New Roman" w:hAnsi="Times New Roman" w:cs="Times New Roman"/>
          <w:sz w:val="24"/>
          <w:szCs w:val="24"/>
        </w:rPr>
        <w:t>000 millones de dólares anuales el costo mundial.</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El sitio web de la Organización Mundial de la Salud indicaba en agosto de 2012, con motivo de la prevención del suicidio, que en el mundo se suicidan casi un millón de personas al año, lo que representa una tasa de mortalidad de 16 personas por cada 100</w:t>
      </w:r>
      <w:r w:rsidR="00BC64B8" w:rsidRPr="00C97452">
        <w:rPr>
          <w:rFonts w:ascii="Times New Roman" w:hAnsi="Times New Roman" w:cs="Times New Roman"/>
          <w:sz w:val="24"/>
          <w:szCs w:val="24"/>
        </w:rPr>
        <w:t xml:space="preserve"> </w:t>
      </w:r>
      <w:r w:rsidRPr="00C97452">
        <w:rPr>
          <w:rFonts w:ascii="Times New Roman" w:hAnsi="Times New Roman" w:cs="Times New Roman"/>
          <w:sz w:val="24"/>
          <w:szCs w:val="24"/>
        </w:rPr>
        <w:t>000 habitantes. Además, este indicador se ha incrementado 60</w:t>
      </w:r>
      <w:r w:rsidR="00BC64B8" w:rsidRPr="00C97452">
        <w:rPr>
          <w:rFonts w:ascii="Times New Roman" w:hAnsi="Times New Roman" w:cs="Times New Roman"/>
          <w:sz w:val="24"/>
          <w:szCs w:val="24"/>
        </w:rPr>
        <w:t xml:space="preserve"> </w:t>
      </w:r>
      <w:r w:rsidRPr="00C97452">
        <w:rPr>
          <w:rFonts w:ascii="Times New Roman" w:hAnsi="Times New Roman" w:cs="Times New Roman"/>
          <w:sz w:val="24"/>
          <w:szCs w:val="24"/>
        </w:rPr>
        <w:t>% en los últimos 45 años, representando en algunos países la segunda causa de mortalidad en el grupo de edad de 10 a 24 años y la tercera en el grupo de 15 a 44 años. Indica también que los hombres jóvenes integran el grupo de mayor riesgo en un tercio de los países en desarrollo e incluso desarrollados, con las tasas de mayor incremento. En su consideración: “El suicidio es un problema complejo, en el que intervienen factores psicológicos, sociales, biológicos, culturales y ambientales” e identifica como factores de riesgo más comunes, el consumo de drogas legales e ilegales, las enfermedades mentales, el ejercicio de la violencia y los sentimientos o sensaciones de pérdida, las que se vinculan a contextos culturales y sociales específicos.</w:t>
      </w:r>
    </w:p>
    <w:p w:rsidR="008F68DF" w:rsidRPr="00C97452" w:rsidRDefault="008F68DF"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lang w:val="es-MX"/>
        </w:rPr>
      </w:pPr>
      <w:r w:rsidRPr="00C97452">
        <w:rPr>
          <w:rFonts w:ascii="Times New Roman" w:hAnsi="Times New Roman" w:cs="Times New Roman"/>
          <w:sz w:val="24"/>
          <w:szCs w:val="24"/>
        </w:rPr>
        <w:t>En México sucede una situación similar. Al respecto, indican Borges y otros (2010), las tasas de suicidio por 100</w:t>
      </w:r>
      <w:r w:rsidR="00BC64B8" w:rsidRPr="00C97452">
        <w:rPr>
          <w:rFonts w:ascii="Times New Roman" w:hAnsi="Times New Roman" w:cs="Times New Roman"/>
          <w:sz w:val="24"/>
          <w:szCs w:val="24"/>
        </w:rPr>
        <w:t xml:space="preserve"> </w:t>
      </w:r>
      <w:r w:rsidRPr="00C97452">
        <w:rPr>
          <w:rFonts w:ascii="Times New Roman" w:hAnsi="Times New Roman" w:cs="Times New Roman"/>
          <w:sz w:val="24"/>
          <w:szCs w:val="24"/>
        </w:rPr>
        <w:t xml:space="preserve">000 habitantes se han incrementado en </w:t>
      </w:r>
      <w:r w:rsidR="00AB7FC9" w:rsidRPr="00C97452">
        <w:rPr>
          <w:rFonts w:ascii="Times New Roman" w:hAnsi="Times New Roman" w:cs="Times New Roman"/>
          <w:sz w:val="24"/>
          <w:szCs w:val="24"/>
        </w:rPr>
        <w:t>275</w:t>
      </w:r>
      <w:r w:rsidR="00BC64B8" w:rsidRPr="00C97452">
        <w:rPr>
          <w:rFonts w:ascii="Times New Roman" w:hAnsi="Times New Roman" w:cs="Times New Roman"/>
          <w:sz w:val="24"/>
          <w:szCs w:val="24"/>
        </w:rPr>
        <w:t xml:space="preserve"> </w:t>
      </w:r>
      <w:r w:rsidR="00AB7FC9" w:rsidRPr="00C97452">
        <w:rPr>
          <w:rFonts w:ascii="Times New Roman" w:hAnsi="Times New Roman" w:cs="Times New Roman"/>
          <w:sz w:val="24"/>
          <w:szCs w:val="24"/>
        </w:rPr>
        <w:t xml:space="preserve">% </w:t>
      </w:r>
      <w:r w:rsidRPr="00C97452">
        <w:rPr>
          <w:rFonts w:ascii="Times New Roman" w:hAnsi="Times New Roman" w:cs="Times New Roman"/>
          <w:sz w:val="24"/>
          <w:szCs w:val="24"/>
        </w:rPr>
        <w:t>entre 1970 y 2007. Para 2010</w:t>
      </w:r>
      <w:r w:rsidR="00BC64B8" w:rsidRPr="00C97452">
        <w:rPr>
          <w:rFonts w:ascii="Times New Roman" w:hAnsi="Times New Roman" w:cs="Times New Roman"/>
          <w:sz w:val="24"/>
          <w:szCs w:val="24"/>
        </w:rPr>
        <w:t>,</w:t>
      </w:r>
      <w:r w:rsidRPr="00C97452">
        <w:rPr>
          <w:rFonts w:ascii="Times New Roman" w:hAnsi="Times New Roman" w:cs="Times New Roman"/>
          <w:sz w:val="24"/>
          <w:szCs w:val="24"/>
        </w:rPr>
        <w:t xml:space="preserve"> el Instituto Nacional de Estadística y Geografía (INEGI) registra 5</w:t>
      </w:r>
      <w:r w:rsidR="00BC64B8" w:rsidRPr="00C97452">
        <w:rPr>
          <w:rFonts w:ascii="Times New Roman" w:hAnsi="Times New Roman" w:cs="Times New Roman"/>
          <w:sz w:val="24"/>
          <w:szCs w:val="24"/>
        </w:rPr>
        <w:t xml:space="preserve"> </w:t>
      </w:r>
      <w:r w:rsidRPr="00C97452">
        <w:rPr>
          <w:rFonts w:ascii="Times New Roman" w:hAnsi="Times New Roman" w:cs="Times New Roman"/>
          <w:sz w:val="24"/>
          <w:szCs w:val="24"/>
        </w:rPr>
        <w:t>012 suicidios, es decir</w:t>
      </w:r>
      <w:r w:rsidR="00BC64B8" w:rsidRPr="00C97452">
        <w:rPr>
          <w:rFonts w:ascii="Times New Roman" w:hAnsi="Times New Roman" w:cs="Times New Roman"/>
          <w:sz w:val="24"/>
          <w:szCs w:val="24"/>
        </w:rPr>
        <w:t>,</w:t>
      </w:r>
      <w:r w:rsidRPr="00C97452">
        <w:rPr>
          <w:rFonts w:ascii="Times New Roman" w:hAnsi="Times New Roman" w:cs="Times New Roman"/>
          <w:sz w:val="24"/>
          <w:szCs w:val="24"/>
        </w:rPr>
        <w:t xml:space="preserve"> una tasa de 4.5 suicidios por cada 100</w:t>
      </w:r>
      <w:r w:rsidR="00BC64B8" w:rsidRPr="00C97452">
        <w:rPr>
          <w:rFonts w:ascii="Times New Roman" w:hAnsi="Times New Roman" w:cs="Times New Roman"/>
          <w:sz w:val="24"/>
          <w:szCs w:val="24"/>
        </w:rPr>
        <w:t xml:space="preserve"> </w:t>
      </w:r>
      <w:r w:rsidRPr="00C97452">
        <w:rPr>
          <w:rFonts w:ascii="Times New Roman" w:hAnsi="Times New Roman" w:cs="Times New Roman"/>
          <w:sz w:val="24"/>
          <w:szCs w:val="24"/>
        </w:rPr>
        <w:t xml:space="preserve">000 habitantes. </w:t>
      </w:r>
      <w:r w:rsidRPr="00C97452">
        <w:rPr>
          <w:rFonts w:ascii="Times New Roman" w:hAnsi="Times New Roman" w:cs="Times New Roman"/>
          <w:sz w:val="24"/>
          <w:szCs w:val="24"/>
          <w:lang w:val="es-MX"/>
        </w:rPr>
        <w:t>En el mismo año, en el estado de Chihuahua se registraron 234 suicidios, para una tasa superior a la nacional de 6.9.</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lastRenderedPageBreak/>
        <w:t xml:space="preserve">Los contextos son relevantes si se consideran, por ejemplo, las diferencias que presenta la disminución de las tasas de mortalidad por grupos de edad y sexo en América Latina y el Caribe con relación a los datos mundiales, </w:t>
      </w:r>
      <w:r w:rsidR="00AB7FC9" w:rsidRPr="00C97452">
        <w:rPr>
          <w:rFonts w:ascii="Times New Roman" w:hAnsi="Times New Roman" w:cs="Times New Roman"/>
          <w:sz w:val="24"/>
          <w:szCs w:val="24"/>
        </w:rPr>
        <w:t>donde</w:t>
      </w:r>
      <w:r w:rsidRPr="00C97452">
        <w:rPr>
          <w:rFonts w:ascii="Times New Roman" w:hAnsi="Times New Roman" w:cs="Times New Roman"/>
          <w:sz w:val="24"/>
          <w:szCs w:val="24"/>
        </w:rPr>
        <w:t xml:space="preserve"> se observa cómo es mayor la disminución de las tasas de mortalidad en mujeres y la tendencia inversa en los hombres jóvenes, a grado tal que la Red de Desarrollo Humano del Banco Mundial (HDN, por sus siglas en inglés), en su informe </w:t>
      </w:r>
      <w:r w:rsidRPr="00C97452">
        <w:rPr>
          <w:rFonts w:ascii="Times New Roman" w:hAnsi="Times New Roman" w:cs="Times New Roman"/>
          <w:i/>
          <w:sz w:val="24"/>
          <w:szCs w:val="24"/>
        </w:rPr>
        <w:t>La carga mundial de morbilidad: generar evidencia, orientar políticas</w:t>
      </w:r>
      <w:r w:rsidRPr="00C97452">
        <w:rPr>
          <w:rFonts w:ascii="Times New Roman" w:hAnsi="Times New Roman" w:cs="Times New Roman"/>
          <w:sz w:val="24"/>
          <w:szCs w:val="24"/>
        </w:rPr>
        <w:t xml:space="preserve"> </w:t>
      </w:r>
      <w:r w:rsidR="00C92169" w:rsidRPr="00C97452">
        <w:rPr>
          <w:rFonts w:ascii="Times New Roman" w:hAnsi="Times New Roman" w:cs="Times New Roman"/>
          <w:sz w:val="24"/>
          <w:szCs w:val="24"/>
        </w:rPr>
        <w:t xml:space="preserve">(2013) </w:t>
      </w:r>
      <w:r w:rsidRPr="00C97452">
        <w:rPr>
          <w:rFonts w:ascii="Times New Roman" w:hAnsi="Times New Roman" w:cs="Times New Roman"/>
          <w:sz w:val="24"/>
          <w:szCs w:val="24"/>
        </w:rPr>
        <w:t>señala que de 15 a 19 años incluso se incrementa la mortalidad en 1</w:t>
      </w:r>
      <w:r w:rsidR="00BC64B8" w:rsidRPr="00C97452">
        <w:rPr>
          <w:rFonts w:ascii="Times New Roman" w:hAnsi="Times New Roman" w:cs="Times New Roman"/>
          <w:sz w:val="24"/>
          <w:szCs w:val="24"/>
        </w:rPr>
        <w:t xml:space="preserve"> </w:t>
      </w:r>
      <w:r w:rsidRPr="00C97452">
        <w:rPr>
          <w:rFonts w:ascii="Times New Roman" w:hAnsi="Times New Roman" w:cs="Times New Roman"/>
          <w:sz w:val="24"/>
          <w:szCs w:val="24"/>
        </w:rPr>
        <w:t xml:space="preserve">% “en gran parte debido a la muerte por lesiones causadas por accidentes de tránsito y al aumento de la violencia en la región” (21). De hecho, datos del INEGI citados por la reportera Claudia Solera en el </w:t>
      </w:r>
      <w:r w:rsidRPr="00C97452">
        <w:rPr>
          <w:rFonts w:ascii="Times New Roman" w:hAnsi="Times New Roman" w:cs="Times New Roman"/>
          <w:i/>
          <w:sz w:val="24"/>
          <w:szCs w:val="24"/>
        </w:rPr>
        <w:t>Excélsior</w:t>
      </w:r>
      <w:r w:rsidRPr="00C97452">
        <w:rPr>
          <w:rFonts w:ascii="Times New Roman" w:hAnsi="Times New Roman" w:cs="Times New Roman"/>
          <w:sz w:val="24"/>
          <w:szCs w:val="24"/>
        </w:rPr>
        <w:t xml:space="preserve"> del 20 de noviembre de 2010, dan cuenta de que “ser hombre y joven mexicano de entre 15 y 29 años eleva tres veces el riesgo de morir, en comparación con una mujer de la misma edad y similar en condiciones” (INPRO).</w:t>
      </w:r>
    </w:p>
    <w:p w:rsidR="008F68DF" w:rsidRPr="00C97452" w:rsidRDefault="008F68DF"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Durante los años de las violencias (2008</w:t>
      </w:r>
      <w:r w:rsidR="00BC64B8" w:rsidRPr="00C97452">
        <w:rPr>
          <w:rFonts w:ascii="Times New Roman" w:hAnsi="Times New Roman" w:cs="Times New Roman"/>
          <w:sz w:val="24"/>
          <w:szCs w:val="24"/>
        </w:rPr>
        <w:t>-</w:t>
      </w:r>
      <w:r w:rsidRPr="00C97452">
        <w:rPr>
          <w:rFonts w:ascii="Times New Roman" w:hAnsi="Times New Roman" w:cs="Times New Roman"/>
          <w:sz w:val="24"/>
          <w:szCs w:val="24"/>
        </w:rPr>
        <w:t>2012)</w:t>
      </w:r>
      <w:r w:rsidR="008F68DF" w:rsidRPr="00C97452">
        <w:rPr>
          <w:rFonts w:ascii="Times New Roman" w:hAnsi="Times New Roman" w:cs="Times New Roman"/>
          <w:sz w:val="24"/>
          <w:szCs w:val="24"/>
        </w:rPr>
        <w:t>,</w:t>
      </w:r>
      <w:r w:rsidRPr="00C97452">
        <w:rPr>
          <w:rFonts w:ascii="Times New Roman" w:hAnsi="Times New Roman" w:cs="Times New Roman"/>
          <w:sz w:val="24"/>
          <w:szCs w:val="24"/>
        </w:rPr>
        <w:t xml:space="preserve"> los homicidios se extendieron a diversos municipios del estado de Chihuahua, destacando Juárez a nivel nacional e internacional. Así, de las 1</w:t>
      </w:r>
      <w:r w:rsidR="00BC64B8" w:rsidRPr="00C97452">
        <w:rPr>
          <w:rFonts w:ascii="Times New Roman" w:hAnsi="Times New Roman" w:cs="Times New Roman"/>
          <w:sz w:val="24"/>
          <w:szCs w:val="24"/>
        </w:rPr>
        <w:t xml:space="preserve"> </w:t>
      </w:r>
      <w:r w:rsidRPr="00C97452">
        <w:rPr>
          <w:rFonts w:ascii="Times New Roman" w:hAnsi="Times New Roman" w:cs="Times New Roman"/>
          <w:sz w:val="24"/>
          <w:szCs w:val="24"/>
        </w:rPr>
        <w:t>588 muertes registradas en el grupo de edad de 15 a 19 años en el periodo de referencia, 62.4</w:t>
      </w:r>
      <w:r w:rsidR="00BC64B8" w:rsidRPr="00C97452">
        <w:rPr>
          <w:rFonts w:ascii="Times New Roman" w:hAnsi="Times New Roman" w:cs="Times New Roman"/>
          <w:sz w:val="24"/>
          <w:szCs w:val="24"/>
        </w:rPr>
        <w:t xml:space="preserve"> </w:t>
      </w:r>
      <w:r w:rsidRPr="00C97452">
        <w:rPr>
          <w:rFonts w:ascii="Times New Roman" w:hAnsi="Times New Roman" w:cs="Times New Roman"/>
          <w:sz w:val="24"/>
          <w:szCs w:val="24"/>
        </w:rPr>
        <w:t>% se produjo en el municipio juarense. Considerando las defunciones por homicidios registrados por INEGI, se observa que el estado de Chihuahua pasó de registrar 518 casos en 2007, a sumar 19</w:t>
      </w:r>
      <w:r w:rsidR="00BC64B8" w:rsidRPr="00C97452">
        <w:rPr>
          <w:rFonts w:ascii="Times New Roman" w:hAnsi="Times New Roman" w:cs="Times New Roman"/>
          <w:sz w:val="24"/>
          <w:szCs w:val="24"/>
        </w:rPr>
        <w:t xml:space="preserve"> </w:t>
      </w:r>
      <w:r w:rsidRPr="00C97452">
        <w:rPr>
          <w:rFonts w:ascii="Times New Roman" w:hAnsi="Times New Roman" w:cs="Times New Roman"/>
          <w:sz w:val="24"/>
          <w:szCs w:val="24"/>
        </w:rPr>
        <w:t>962 entre 2008 y 2012, con un promedio anual de 3</w:t>
      </w:r>
      <w:r w:rsidR="00BC64B8" w:rsidRPr="00C97452">
        <w:rPr>
          <w:rFonts w:ascii="Times New Roman" w:hAnsi="Times New Roman" w:cs="Times New Roman"/>
          <w:sz w:val="24"/>
          <w:szCs w:val="24"/>
        </w:rPr>
        <w:t xml:space="preserve"> </w:t>
      </w:r>
      <w:r w:rsidRPr="00C97452">
        <w:rPr>
          <w:rFonts w:ascii="Times New Roman" w:hAnsi="Times New Roman" w:cs="Times New Roman"/>
          <w:sz w:val="24"/>
          <w:szCs w:val="24"/>
        </w:rPr>
        <w:t>992 personas victimadas, mostrando su mayor nivel en 2010 con 6</w:t>
      </w:r>
      <w:r w:rsidR="00BC64B8" w:rsidRPr="00C97452">
        <w:rPr>
          <w:rFonts w:ascii="Times New Roman" w:hAnsi="Times New Roman" w:cs="Times New Roman"/>
          <w:sz w:val="24"/>
          <w:szCs w:val="24"/>
        </w:rPr>
        <w:t xml:space="preserve"> </w:t>
      </w:r>
      <w:r w:rsidRPr="00C97452">
        <w:rPr>
          <w:rFonts w:ascii="Times New Roman" w:hAnsi="Times New Roman" w:cs="Times New Roman"/>
          <w:sz w:val="24"/>
          <w:szCs w:val="24"/>
        </w:rPr>
        <w:t>407. Ese año es también el de mayor número de pérdida de vidas en Juárez, con 2</w:t>
      </w:r>
      <w:r w:rsidR="00BC64B8" w:rsidRPr="00C97452">
        <w:rPr>
          <w:rFonts w:ascii="Times New Roman" w:hAnsi="Times New Roman" w:cs="Times New Roman"/>
          <w:sz w:val="24"/>
          <w:szCs w:val="24"/>
        </w:rPr>
        <w:t xml:space="preserve"> </w:t>
      </w:r>
      <w:r w:rsidRPr="00C97452">
        <w:rPr>
          <w:rFonts w:ascii="Times New Roman" w:hAnsi="Times New Roman" w:cs="Times New Roman"/>
          <w:sz w:val="24"/>
          <w:szCs w:val="24"/>
        </w:rPr>
        <w:t xml:space="preserve">918 de acuerdo a datos publicados por el Observatorio de Seguridad y Convivencia Ciudadanas </w:t>
      </w:r>
      <w:r w:rsidR="00667B61" w:rsidRPr="00C97452">
        <w:rPr>
          <w:rFonts w:ascii="Times New Roman" w:hAnsi="Times New Roman" w:cs="Times New Roman"/>
          <w:sz w:val="24"/>
          <w:szCs w:val="24"/>
        </w:rPr>
        <w:t xml:space="preserve">(2913) </w:t>
      </w:r>
      <w:r w:rsidRPr="00C97452">
        <w:rPr>
          <w:rFonts w:ascii="Times New Roman" w:hAnsi="Times New Roman" w:cs="Times New Roman"/>
          <w:sz w:val="24"/>
          <w:szCs w:val="24"/>
        </w:rPr>
        <w:t>de ese municipio, es decir 45.5</w:t>
      </w:r>
      <w:r w:rsidR="00BC64B8" w:rsidRPr="00C97452">
        <w:rPr>
          <w:rFonts w:ascii="Times New Roman" w:hAnsi="Times New Roman" w:cs="Times New Roman"/>
          <w:sz w:val="24"/>
          <w:szCs w:val="24"/>
        </w:rPr>
        <w:t xml:space="preserve"> </w:t>
      </w:r>
      <w:r w:rsidRPr="00C97452">
        <w:rPr>
          <w:rFonts w:ascii="Times New Roman" w:hAnsi="Times New Roman" w:cs="Times New Roman"/>
          <w:sz w:val="24"/>
          <w:szCs w:val="24"/>
        </w:rPr>
        <w:t>%.</w:t>
      </w:r>
    </w:p>
    <w:p w:rsidR="008F68DF" w:rsidRPr="00C97452" w:rsidRDefault="008F68DF" w:rsidP="00C97452">
      <w:pPr>
        <w:spacing w:after="0" w:line="360" w:lineRule="auto"/>
        <w:jc w:val="both"/>
        <w:rPr>
          <w:rFonts w:ascii="Times New Roman" w:hAnsi="Times New Roman" w:cs="Times New Roman"/>
          <w:sz w:val="24"/>
          <w:szCs w:val="24"/>
        </w:rPr>
      </w:pPr>
    </w:p>
    <w:p w:rsidR="003749A5"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Estos datos muestran que las tendencias hacen referencia no a situaciones particulares, sino a condiciones estructurales que se acentúan en poblaciones con mayores desigualdades y limitaciones en el acceso al ejercicio de derechos, como sucede en Ciudad Juárez</w:t>
      </w:r>
      <w:r w:rsidR="00A123F1" w:rsidRPr="00C97452">
        <w:rPr>
          <w:rFonts w:ascii="Times New Roman" w:hAnsi="Times New Roman" w:cs="Times New Roman"/>
          <w:sz w:val="24"/>
          <w:szCs w:val="24"/>
        </w:rPr>
        <w:t>,</w:t>
      </w:r>
      <w:r w:rsidRPr="00C97452">
        <w:rPr>
          <w:rFonts w:ascii="Times New Roman" w:hAnsi="Times New Roman" w:cs="Times New Roman"/>
          <w:sz w:val="24"/>
          <w:szCs w:val="24"/>
        </w:rPr>
        <w:t xml:space="preserve"> donde prevalecen condiciones de vulnerabilidad social, la que señala Sáenz </w:t>
      </w:r>
      <w:proofErr w:type="spellStart"/>
      <w:r w:rsidRPr="00C97452">
        <w:rPr>
          <w:rFonts w:ascii="Times New Roman" w:hAnsi="Times New Roman" w:cs="Times New Roman"/>
          <w:sz w:val="24"/>
          <w:szCs w:val="24"/>
        </w:rPr>
        <w:t>Lorite</w:t>
      </w:r>
      <w:proofErr w:type="spellEnd"/>
      <w:r w:rsidRPr="00C97452">
        <w:rPr>
          <w:rFonts w:ascii="Times New Roman" w:hAnsi="Times New Roman" w:cs="Times New Roman"/>
          <w:sz w:val="24"/>
          <w:szCs w:val="24"/>
        </w:rPr>
        <w:t>:</w:t>
      </w:r>
    </w:p>
    <w:p w:rsidR="00C97452" w:rsidRPr="00C97452" w:rsidRDefault="00C97452" w:rsidP="00C97452">
      <w:pPr>
        <w:spacing w:after="0" w:line="360" w:lineRule="auto"/>
        <w:jc w:val="both"/>
        <w:rPr>
          <w:rFonts w:ascii="Times New Roman" w:hAnsi="Times New Roman" w:cs="Times New Roman"/>
          <w:sz w:val="24"/>
          <w:szCs w:val="24"/>
        </w:rPr>
      </w:pPr>
    </w:p>
    <w:p w:rsidR="00457146" w:rsidRPr="00C97452" w:rsidRDefault="00457146"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ind w:left="720" w:right="720"/>
        <w:jc w:val="both"/>
        <w:rPr>
          <w:rFonts w:ascii="Times New Roman" w:hAnsi="Times New Roman" w:cs="Times New Roman"/>
          <w:sz w:val="24"/>
          <w:szCs w:val="24"/>
        </w:rPr>
      </w:pPr>
      <w:r w:rsidRPr="00C97452">
        <w:rPr>
          <w:rFonts w:ascii="Times New Roman" w:hAnsi="Times New Roman" w:cs="Times New Roman"/>
          <w:sz w:val="24"/>
          <w:szCs w:val="24"/>
        </w:rPr>
        <w:lastRenderedPageBreak/>
        <w:t>Debe entenderse como el contexto, el caldo de cultivo para comprender el impacto de una catástrofe, de las crisis económicas, de los cambios en la estructura, de las poblaciones, de la reducción de los derechos humanos en un amplio sentido, cuyos efectos serán tanto más devastadores cuanto menor sea la capacidad de resistencia del individuo o la sociedad (201</w:t>
      </w:r>
      <w:r w:rsidR="00667B61" w:rsidRPr="00C97452">
        <w:rPr>
          <w:rFonts w:ascii="Times New Roman" w:hAnsi="Times New Roman" w:cs="Times New Roman"/>
          <w:sz w:val="24"/>
          <w:szCs w:val="24"/>
        </w:rPr>
        <w:t>2</w:t>
      </w:r>
      <w:r w:rsidR="00A123F1" w:rsidRPr="00C97452">
        <w:rPr>
          <w:rFonts w:ascii="Times New Roman" w:hAnsi="Times New Roman" w:cs="Times New Roman"/>
          <w:sz w:val="24"/>
          <w:szCs w:val="24"/>
        </w:rPr>
        <w:t xml:space="preserve">, p. </w:t>
      </w:r>
      <w:r w:rsidRPr="00C97452">
        <w:rPr>
          <w:rFonts w:ascii="Times New Roman" w:hAnsi="Times New Roman" w:cs="Times New Roman"/>
          <w:sz w:val="24"/>
          <w:szCs w:val="24"/>
        </w:rPr>
        <w:t>10).</w:t>
      </w:r>
    </w:p>
    <w:p w:rsidR="00457146" w:rsidRPr="00C97452" w:rsidRDefault="00457146" w:rsidP="00C97452">
      <w:pPr>
        <w:spacing w:after="0" w:line="360" w:lineRule="auto"/>
        <w:ind w:left="720" w:right="720"/>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En la localidad de referencia, hablamos de la exposición a riesgos vinculados con factores socioeconómicos y de desarrollo no resueltos o no previstos, que se expresan en poblaciones marginadas, pobreza y expansión urbana con una creciente oferta de viviendas con la consecuente demanda de servicios, lo que mantiene en el rezago a asentamientos con mayor antigüedad y en los que el acceso de los jóvenes a la educación se encuentra seriamente limitado por la carencia de espacios en los niveles medio superior y superior. De igual manera, con el nuevo siglo se manifestó el desempleo creciente, condición desconocida en los años previos en una ciudad que contaba con pleno empleo.</w:t>
      </w:r>
    </w:p>
    <w:p w:rsidR="008F68DF" w:rsidRPr="00C97452" w:rsidRDefault="008F68DF"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La manera en que la actividad económica se incentivó en esta ciudad, aprovechando la amplia disposición de mano de obra barata y transportándola cuando no existía la suficiente reserva, manteniendo el salario mínimo como el ingreso base para el mayor número de trabajadores y trabajadoras en la IME, la provisión de vivienda de interés social con pequeñas dimensiones cada vez más alejada de los centros tradicionales de actividad comercial y de servicios, con un promedio de escolaridad equivalente a 9 grados de estudio, prefiguran el tipo de condicionamientos que Johan </w:t>
      </w:r>
      <w:proofErr w:type="spellStart"/>
      <w:r w:rsidRPr="00C97452">
        <w:rPr>
          <w:rFonts w:ascii="Times New Roman" w:hAnsi="Times New Roman" w:cs="Times New Roman"/>
          <w:sz w:val="24"/>
          <w:szCs w:val="24"/>
        </w:rPr>
        <w:t>Galtung</w:t>
      </w:r>
      <w:proofErr w:type="spellEnd"/>
      <w:r w:rsidRPr="00C97452">
        <w:rPr>
          <w:rFonts w:ascii="Times New Roman" w:hAnsi="Times New Roman" w:cs="Times New Roman"/>
          <w:sz w:val="24"/>
          <w:szCs w:val="24"/>
        </w:rPr>
        <w:t xml:space="preserve"> define como violencia, la que está “presente cuando los seres humanos se ven influidos de tal manera que sus realizaciones efectivas, somáticas y mentales, están por debajo de sus realizaciones potenciales” (1995</w:t>
      </w:r>
      <w:r w:rsidR="00C2425C" w:rsidRPr="00C97452">
        <w:rPr>
          <w:rFonts w:ascii="Times New Roman" w:hAnsi="Times New Roman" w:cs="Times New Roman"/>
          <w:sz w:val="24"/>
          <w:szCs w:val="24"/>
        </w:rPr>
        <w:t xml:space="preserve">, p. </w:t>
      </w:r>
      <w:r w:rsidRPr="00C97452">
        <w:rPr>
          <w:rFonts w:ascii="Times New Roman" w:hAnsi="Times New Roman" w:cs="Times New Roman"/>
          <w:sz w:val="24"/>
          <w:szCs w:val="24"/>
        </w:rPr>
        <w:t>314). Es claro que no son las características individuales las que sustentan la decisión de las personas para migrar del centro, sur y sureste del país, para incorporarse a una ciudad que ofrece oportunidades de empleo y plantea serias dificultades para la integración a su dinámica social, sin ignorar su clima extremo.</w:t>
      </w:r>
    </w:p>
    <w:p w:rsidR="008F68DF" w:rsidRPr="00C97452" w:rsidRDefault="008F68DF" w:rsidP="00C97452">
      <w:pPr>
        <w:spacing w:after="0" w:line="360" w:lineRule="auto"/>
        <w:jc w:val="both"/>
        <w:rPr>
          <w:rFonts w:ascii="Times New Roman" w:hAnsi="Times New Roman" w:cs="Times New Roman"/>
          <w:sz w:val="24"/>
          <w:szCs w:val="24"/>
        </w:rPr>
      </w:pPr>
    </w:p>
    <w:p w:rsidR="00D05A8D" w:rsidRDefault="00D05A8D"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lastRenderedPageBreak/>
        <w:t>En este sentido, si bien desde sus inicios la IME ha sido cuestionada por las condiciones laborales que ofrece</w:t>
      </w:r>
      <w:r w:rsidR="008F68DF" w:rsidRPr="00C97452">
        <w:rPr>
          <w:rFonts w:ascii="Times New Roman" w:hAnsi="Times New Roman" w:cs="Times New Roman"/>
          <w:sz w:val="24"/>
          <w:szCs w:val="24"/>
        </w:rPr>
        <w:t>,</w:t>
      </w:r>
      <w:r w:rsidRPr="00C97452">
        <w:rPr>
          <w:rFonts w:ascii="Times New Roman" w:hAnsi="Times New Roman" w:cs="Times New Roman"/>
          <w:sz w:val="24"/>
          <w:szCs w:val="24"/>
        </w:rPr>
        <w:t xml:space="preserve"> las concesiones y ventajas fiscales que recibe, el origen de su capital y la limitada participación de insumos nacionales en sus productos, no se puede ignorar su papel como impulsora de muchas otras actividades productivas: transportes, servicios bancarios y financieros, agencias aduanales, construcción de naves industriales y viviendas, servicios bancarios y comerciales, entre otras. De igual manera, el desencanto con los resultados de la alternancia política y el desapego a la sindicación, estimulada cierto es por los administradores de la IME y la deficiente gestión de los sindicatos blancos y corporativos, han gestado una constante desafiliación de la ciudadanía con relación a las formas tradicionales de organización, que ha sido parcialmente cubierta por las organizaciones de la sociedad civil y las diversas confesiones religiosas. Mientras que la persistencia de rezagos en la pavimentación de calles y colonias, la provisión de seguridad y espacios de recreación y esparcimiento, generan una evaluación negativa sobre las autoridades pol</w:t>
      </w:r>
      <w:r w:rsidR="00DF106E" w:rsidRPr="00C97452">
        <w:rPr>
          <w:rFonts w:ascii="Times New Roman" w:hAnsi="Times New Roman" w:cs="Times New Roman"/>
          <w:sz w:val="24"/>
          <w:szCs w:val="24"/>
        </w:rPr>
        <w:t>í</w:t>
      </w:r>
      <w:r w:rsidRPr="00C97452">
        <w:rPr>
          <w:rFonts w:ascii="Times New Roman" w:hAnsi="Times New Roman" w:cs="Times New Roman"/>
          <w:sz w:val="24"/>
          <w:szCs w:val="24"/>
        </w:rPr>
        <w:t>tico administrativas de los tres niveles de gobierno, de los legislativos y aún en contra del aparato de justicia, dados los altos niveles de impunidad que prevalecen en todo tipo de delitos.</w:t>
      </w:r>
    </w:p>
    <w:p w:rsidR="00646680" w:rsidRPr="00C97452" w:rsidRDefault="00646680"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Las </w:t>
      </w:r>
      <w:r w:rsidR="00EA2A48" w:rsidRPr="00C97452">
        <w:rPr>
          <w:rFonts w:ascii="Times New Roman" w:hAnsi="Times New Roman" w:cs="Times New Roman"/>
          <w:sz w:val="24"/>
          <w:szCs w:val="24"/>
        </w:rPr>
        <w:t>condiciones anteriores</w:t>
      </w:r>
      <w:r w:rsidRPr="00C97452">
        <w:rPr>
          <w:rFonts w:ascii="Times New Roman" w:hAnsi="Times New Roman" w:cs="Times New Roman"/>
          <w:sz w:val="24"/>
          <w:szCs w:val="24"/>
        </w:rPr>
        <w:t xml:space="preserve"> prefiguran el escenario de lo que </w:t>
      </w:r>
      <w:proofErr w:type="spellStart"/>
      <w:r w:rsidRPr="00C97452">
        <w:rPr>
          <w:rFonts w:ascii="Times New Roman" w:hAnsi="Times New Roman" w:cs="Times New Roman"/>
          <w:sz w:val="24"/>
          <w:szCs w:val="24"/>
        </w:rPr>
        <w:t>Galtung</w:t>
      </w:r>
      <w:proofErr w:type="spellEnd"/>
      <w:r w:rsidRPr="00C97452">
        <w:rPr>
          <w:rFonts w:ascii="Times New Roman" w:hAnsi="Times New Roman" w:cs="Times New Roman"/>
          <w:sz w:val="24"/>
          <w:szCs w:val="24"/>
        </w:rPr>
        <w:t xml:space="preserve"> considera violencia estructural, aquella que "está edificada dentro de la estructura, y se manifiesta como un poder desigual y, consiguientemente, como oportunidades de vida distintas" (319-320). Este tipo de violencia se diferencia de la planteada por la OMS, entre otras cosas, en que no existe un actor a quien se pueda atribuir de manera directa la intención y el uso de la fuerza, por lo que la denomina violencia estructural o indirecta, para ilustrar lo que considera expresión de la injusticia social.</w:t>
      </w:r>
    </w:p>
    <w:p w:rsidR="00646680" w:rsidRPr="00C97452" w:rsidRDefault="00646680"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La Trabajadora Social y Magister en Ciencias Sociales, Gabriela </w:t>
      </w:r>
      <w:proofErr w:type="spellStart"/>
      <w:r w:rsidRPr="00C97452">
        <w:rPr>
          <w:rFonts w:ascii="Times New Roman" w:hAnsi="Times New Roman" w:cs="Times New Roman"/>
          <w:sz w:val="24"/>
          <w:szCs w:val="24"/>
        </w:rPr>
        <w:t>Rotondi</w:t>
      </w:r>
      <w:proofErr w:type="spellEnd"/>
      <w:r w:rsidRPr="00C97452">
        <w:rPr>
          <w:rFonts w:ascii="Times New Roman" w:hAnsi="Times New Roman" w:cs="Times New Roman"/>
          <w:sz w:val="24"/>
          <w:szCs w:val="24"/>
        </w:rPr>
        <w:t xml:space="preserve">, plantea en su artículo </w:t>
      </w:r>
      <w:r w:rsidRPr="00C97452">
        <w:rPr>
          <w:rFonts w:ascii="Times New Roman" w:hAnsi="Times New Roman" w:cs="Times New Roman"/>
          <w:i/>
          <w:sz w:val="24"/>
          <w:szCs w:val="24"/>
        </w:rPr>
        <w:t>Ciudadanía fragilizada: género y ciudadanía</w:t>
      </w:r>
      <w:r w:rsidRPr="00C97452">
        <w:rPr>
          <w:rFonts w:ascii="Times New Roman" w:hAnsi="Times New Roman" w:cs="Times New Roman"/>
          <w:sz w:val="24"/>
          <w:szCs w:val="24"/>
        </w:rPr>
        <w:t>, la siguiente pregunta: ¿qué significado tienen las diversas formas de participación en la construcción de ciudadanía? (2003</w:t>
      </w:r>
      <w:r w:rsidR="00DF106E" w:rsidRPr="00C97452">
        <w:rPr>
          <w:rFonts w:ascii="Times New Roman" w:hAnsi="Times New Roman" w:cs="Times New Roman"/>
          <w:sz w:val="24"/>
          <w:szCs w:val="24"/>
        </w:rPr>
        <w:t xml:space="preserve">, p. </w:t>
      </w:r>
      <w:r w:rsidRPr="00C97452">
        <w:rPr>
          <w:rFonts w:ascii="Times New Roman" w:hAnsi="Times New Roman" w:cs="Times New Roman"/>
          <w:sz w:val="24"/>
          <w:szCs w:val="24"/>
        </w:rPr>
        <w:t xml:space="preserve">180). La interrogante hace referencia a la condición ciudadana de las mujeres, quienes han accedido de manera desigual y diferenciada a tal estatus. Para la autora: “La paradójica enunciación ‘mujer ciudadana’ suele entramparnos en una visión de las </w:t>
      </w:r>
      <w:r w:rsidRPr="00C97452">
        <w:rPr>
          <w:rFonts w:ascii="Times New Roman" w:hAnsi="Times New Roman" w:cs="Times New Roman"/>
          <w:sz w:val="24"/>
          <w:szCs w:val="24"/>
        </w:rPr>
        <w:lastRenderedPageBreak/>
        <w:t>relaciones sociales como igualitarias, cuando en realidad se presentan específicamente desiguales y socialmente construidas” (</w:t>
      </w:r>
      <w:proofErr w:type="spellStart"/>
      <w:r w:rsidRPr="00C97452">
        <w:rPr>
          <w:rFonts w:ascii="Times New Roman" w:hAnsi="Times New Roman" w:cs="Times New Roman"/>
          <w:sz w:val="24"/>
          <w:szCs w:val="24"/>
        </w:rPr>
        <w:t>Rotondi</w:t>
      </w:r>
      <w:proofErr w:type="spellEnd"/>
      <w:r w:rsidRPr="00C97452">
        <w:rPr>
          <w:rFonts w:ascii="Times New Roman" w:hAnsi="Times New Roman" w:cs="Times New Roman"/>
          <w:sz w:val="24"/>
          <w:szCs w:val="24"/>
        </w:rPr>
        <w:t xml:space="preserve"> 2003</w:t>
      </w:r>
      <w:r w:rsidR="00DF106E" w:rsidRPr="00C97452">
        <w:rPr>
          <w:rFonts w:ascii="Times New Roman" w:hAnsi="Times New Roman" w:cs="Times New Roman"/>
          <w:sz w:val="24"/>
          <w:szCs w:val="24"/>
        </w:rPr>
        <w:t xml:space="preserve">, p. </w:t>
      </w:r>
      <w:r w:rsidRPr="00C97452">
        <w:rPr>
          <w:rFonts w:ascii="Times New Roman" w:hAnsi="Times New Roman" w:cs="Times New Roman"/>
          <w:sz w:val="24"/>
          <w:szCs w:val="24"/>
        </w:rPr>
        <w:t xml:space="preserve">169). En este caso, reformulemos la pregunta: ¿qué implicaciones tienen la vulnerabilidad y la injusticia sociales para la construcción de ciudadanía? Agreguemos una más: ¿cómo afectan las posibilidades de participación de las y los jóvenes? Al respecto, Tortosa y la Parra (2003) ofrecen elementos para entender de qué manera las juventudes son afectadas en el marco de la violencia estructural, en tanto </w:t>
      </w:r>
      <w:r w:rsidR="00457146" w:rsidRPr="00C97452">
        <w:rPr>
          <w:rFonts w:ascii="Times New Roman" w:hAnsi="Times New Roman" w:cs="Times New Roman"/>
          <w:sz w:val="24"/>
          <w:szCs w:val="24"/>
        </w:rPr>
        <w:t>e</w:t>
      </w:r>
      <w:r w:rsidRPr="00C97452">
        <w:rPr>
          <w:rFonts w:ascii="Times New Roman" w:hAnsi="Times New Roman" w:cs="Times New Roman"/>
          <w:sz w:val="24"/>
          <w:szCs w:val="24"/>
        </w:rPr>
        <w:t>sta:</w:t>
      </w:r>
    </w:p>
    <w:p w:rsidR="00457146" w:rsidRPr="00C97452" w:rsidRDefault="00457146" w:rsidP="00C97452">
      <w:pPr>
        <w:spacing w:after="0" w:line="360" w:lineRule="auto"/>
        <w:jc w:val="both"/>
        <w:rPr>
          <w:rFonts w:ascii="Times New Roman" w:hAnsi="Times New Roman" w:cs="Times New Roman"/>
          <w:sz w:val="24"/>
          <w:szCs w:val="24"/>
        </w:rPr>
      </w:pPr>
    </w:p>
    <w:p w:rsidR="003749A5" w:rsidRPr="00C97452" w:rsidRDefault="003749A5" w:rsidP="00C97452">
      <w:pPr>
        <w:spacing w:line="360" w:lineRule="auto"/>
        <w:ind w:left="567" w:right="567"/>
        <w:jc w:val="both"/>
        <w:rPr>
          <w:rFonts w:ascii="Times New Roman" w:hAnsi="Times New Roman" w:cs="Times New Roman"/>
          <w:sz w:val="24"/>
          <w:szCs w:val="24"/>
        </w:rPr>
      </w:pPr>
      <w:r w:rsidRPr="00C97452">
        <w:rPr>
          <w:rFonts w:ascii="Times New Roman" w:hAnsi="Times New Roman" w:cs="Times New Roman"/>
          <w:sz w:val="24"/>
          <w:szCs w:val="24"/>
        </w:rPr>
        <w:t>…remite a la existencia de un conflicto entre dos o más grupos sociales (normalmente caracterizados en términos de género, etnia, clase u edad) en donde la distribución, el acceso o la posibilidad de uso de los recursos están determinados sistemáticamente a favor de alguna de las partes y en perjuicio de la otra. La utilidad del término ‘violencia estructural’ radica en el reconocimiento de la existencia de un conflicto en el uso de los recursos materiales y sociales (2003</w:t>
      </w:r>
      <w:r w:rsidR="00F5337F" w:rsidRPr="00C97452">
        <w:rPr>
          <w:rFonts w:ascii="Times New Roman" w:hAnsi="Times New Roman" w:cs="Times New Roman"/>
          <w:sz w:val="24"/>
          <w:szCs w:val="24"/>
        </w:rPr>
        <w:t xml:space="preserve">, p. </w:t>
      </w:r>
      <w:r w:rsidRPr="00C97452">
        <w:rPr>
          <w:rFonts w:ascii="Times New Roman" w:hAnsi="Times New Roman" w:cs="Times New Roman"/>
          <w:sz w:val="24"/>
          <w:szCs w:val="24"/>
        </w:rPr>
        <w:t>242).</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Más aún, las categorías listadas se asocian a la construcción de un enemigo social, un grupo de población que no se concibe como sujeto, sino que considerado un grupo </w:t>
      </w:r>
      <w:r w:rsidRPr="00C97452">
        <w:rPr>
          <w:rFonts w:ascii="Times New Roman" w:hAnsi="Times New Roman" w:cs="Times New Roman"/>
          <w:i/>
          <w:sz w:val="24"/>
          <w:szCs w:val="24"/>
        </w:rPr>
        <w:t>en riesgo</w:t>
      </w:r>
      <w:r w:rsidRPr="00C97452">
        <w:rPr>
          <w:rFonts w:ascii="Times New Roman" w:hAnsi="Times New Roman" w:cs="Times New Roman"/>
          <w:sz w:val="24"/>
          <w:szCs w:val="24"/>
        </w:rPr>
        <w:t xml:space="preserve"> es transformado en uno </w:t>
      </w:r>
      <w:r w:rsidRPr="00C97452">
        <w:rPr>
          <w:rFonts w:ascii="Times New Roman" w:hAnsi="Times New Roman" w:cs="Times New Roman"/>
          <w:i/>
          <w:sz w:val="24"/>
          <w:szCs w:val="24"/>
        </w:rPr>
        <w:t>de riesgo</w:t>
      </w:r>
      <w:r w:rsidRPr="00C97452">
        <w:rPr>
          <w:rFonts w:ascii="Times New Roman" w:hAnsi="Times New Roman" w:cs="Times New Roman"/>
          <w:sz w:val="24"/>
          <w:szCs w:val="24"/>
        </w:rPr>
        <w:t xml:space="preserve">: “Género, clase, nación, ‘raza’, grupo de interés son los campos en los que suele aparecer un enemigo porque </w:t>
      </w:r>
      <w:r w:rsidR="00F5337F" w:rsidRPr="00C97452">
        <w:rPr>
          <w:rFonts w:ascii="Times New Roman" w:hAnsi="Times New Roman" w:cs="Times New Roman"/>
          <w:sz w:val="24"/>
          <w:szCs w:val="24"/>
        </w:rPr>
        <w:t>e</w:t>
      </w:r>
      <w:r w:rsidRPr="00C97452">
        <w:rPr>
          <w:rFonts w:ascii="Times New Roman" w:hAnsi="Times New Roman" w:cs="Times New Roman"/>
          <w:sz w:val="24"/>
          <w:szCs w:val="24"/>
        </w:rPr>
        <w:t>ste satisface sus intereses de manera sistemática a costa del otro” (Tortosa, 2003</w:t>
      </w:r>
      <w:r w:rsidR="00F5337F" w:rsidRPr="00C97452">
        <w:rPr>
          <w:rFonts w:ascii="Times New Roman" w:hAnsi="Times New Roman" w:cs="Times New Roman"/>
          <w:sz w:val="24"/>
          <w:szCs w:val="24"/>
        </w:rPr>
        <w:t xml:space="preserve">, p. </w:t>
      </w:r>
      <w:r w:rsidRPr="00C97452">
        <w:rPr>
          <w:rFonts w:ascii="Times New Roman" w:hAnsi="Times New Roman" w:cs="Times New Roman"/>
          <w:sz w:val="24"/>
          <w:szCs w:val="24"/>
        </w:rPr>
        <w:t>180). En este sentido, indican Larraín y Rodríguez</w:t>
      </w:r>
      <w:r w:rsidR="00AA5DF5" w:rsidRPr="00C97452">
        <w:rPr>
          <w:rFonts w:ascii="Times New Roman" w:hAnsi="Times New Roman" w:cs="Times New Roman"/>
          <w:sz w:val="24"/>
          <w:szCs w:val="24"/>
        </w:rPr>
        <w:t xml:space="preserve"> (1993)</w:t>
      </w:r>
      <w:r w:rsidRPr="00C97452">
        <w:rPr>
          <w:rFonts w:ascii="Times New Roman" w:hAnsi="Times New Roman" w:cs="Times New Roman"/>
          <w:sz w:val="24"/>
          <w:szCs w:val="24"/>
        </w:rPr>
        <w:t xml:space="preserve">: "La VE [violencia estructural] está presente en los sistemas políticos, económicos y sociales que mantienen la opresión de determinadas personas a las que se les niegan beneficios sociales, políticos y económicos, haciéndolas más vulnerables al sufrimiento y a la muerte" (202). Como señalan Pacheco y Pequeño (2011), </w:t>
      </w:r>
      <w:r w:rsidR="00F5337F" w:rsidRPr="00C97452">
        <w:rPr>
          <w:rFonts w:ascii="Times New Roman" w:hAnsi="Times New Roman" w:cs="Times New Roman"/>
          <w:sz w:val="24"/>
          <w:szCs w:val="24"/>
        </w:rPr>
        <w:t>e</w:t>
      </w:r>
      <w:r w:rsidRPr="00C97452">
        <w:rPr>
          <w:rFonts w:ascii="Times New Roman" w:hAnsi="Times New Roman" w:cs="Times New Roman"/>
          <w:sz w:val="24"/>
          <w:szCs w:val="24"/>
        </w:rPr>
        <w:t>stas son las condiciones que prevalecen en Ciudad Juárez con miles de jóvenes excluidos de la educación escolarizada, el trabajo formal justamente retribuido, la salud física y mental, así como del uso y aprovechamiento de</w:t>
      </w:r>
      <w:r w:rsidR="00C406CE" w:rsidRPr="00C97452">
        <w:rPr>
          <w:rFonts w:ascii="Times New Roman" w:hAnsi="Times New Roman" w:cs="Times New Roman"/>
          <w:sz w:val="24"/>
          <w:szCs w:val="24"/>
        </w:rPr>
        <w:t>l</w:t>
      </w:r>
      <w:r w:rsidRPr="00C97452">
        <w:rPr>
          <w:rFonts w:ascii="Times New Roman" w:hAnsi="Times New Roman" w:cs="Times New Roman"/>
          <w:sz w:val="24"/>
          <w:szCs w:val="24"/>
        </w:rPr>
        <w:t xml:space="preserve"> tiempo libre, antes de convertirse en víctimas y victimarios: factor de riesgo para otras personas y para sí mismos.</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El neoliberalismo se ha establecido en términos generales como dominante en el mundo, con efectos en el ámbito social que son plenamente reconocidos en América Latina, lo que permite a </w:t>
      </w:r>
      <w:proofErr w:type="spellStart"/>
      <w:r w:rsidRPr="00C97452">
        <w:rPr>
          <w:rFonts w:ascii="Times New Roman" w:hAnsi="Times New Roman" w:cs="Times New Roman"/>
          <w:sz w:val="24"/>
          <w:szCs w:val="24"/>
        </w:rPr>
        <w:t>Rotondi</w:t>
      </w:r>
      <w:proofErr w:type="spellEnd"/>
      <w:r w:rsidRPr="00C97452">
        <w:rPr>
          <w:rFonts w:ascii="Times New Roman" w:hAnsi="Times New Roman" w:cs="Times New Roman"/>
          <w:sz w:val="24"/>
          <w:szCs w:val="24"/>
        </w:rPr>
        <w:t xml:space="preserve"> señalar:</w:t>
      </w:r>
    </w:p>
    <w:p w:rsidR="003749A5" w:rsidRPr="00C97452" w:rsidRDefault="003749A5" w:rsidP="00C97452">
      <w:pPr>
        <w:spacing w:line="360" w:lineRule="auto"/>
        <w:ind w:left="567" w:right="567"/>
        <w:jc w:val="both"/>
        <w:rPr>
          <w:rFonts w:ascii="Times New Roman" w:hAnsi="Times New Roman" w:cs="Times New Roman"/>
          <w:sz w:val="24"/>
          <w:szCs w:val="24"/>
        </w:rPr>
      </w:pPr>
      <w:r w:rsidRPr="00C97452">
        <w:rPr>
          <w:rFonts w:ascii="Times New Roman" w:hAnsi="Times New Roman" w:cs="Times New Roman"/>
          <w:sz w:val="24"/>
          <w:szCs w:val="24"/>
        </w:rPr>
        <w:lastRenderedPageBreak/>
        <w:t>La discusión del concepto de ciudadanía está en el centro del debate sobre la cuestión social, es decir, en el medio de la controversia sobre el desempleo de largo plazo, la precarización del trabajo y las nuevas y viejas formas de la desigualdad. Nos enfrentamos, en las sociedades latinoamericanas, a la paradoja de sociedades democráticas con ciudadanos/as nominales o ciudadanos/as incompletos/as, es decir, falsos ciudadanos o que no pueden ejercer plenamente los atributos correspondientes a esa condición (2000</w:t>
      </w:r>
      <w:r w:rsidR="008115A3" w:rsidRPr="00C97452">
        <w:rPr>
          <w:rFonts w:ascii="Times New Roman" w:hAnsi="Times New Roman" w:cs="Times New Roman"/>
          <w:sz w:val="24"/>
          <w:szCs w:val="24"/>
        </w:rPr>
        <w:t xml:space="preserve">, p. </w:t>
      </w:r>
      <w:r w:rsidRPr="00C97452">
        <w:rPr>
          <w:rFonts w:ascii="Times New Roman" w:hAnsi="Times New Roman" w:cs="Times New Roman"/>
          <w:sz w:val="24"/>
          <w:szCs w:val="24"/>
        </w:rPr>
        <w:t>176).</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Si se considera que la forma legal y socialmente reconocida para obtener ingresos y mediante </w:t>
      </w:r>
      <w:r w:rsidR="008115A3" w:rsidRPr="00C97452">
        <w:rPr>
          <w:rFonts w:ascii="Times New Roman" w:hAnsi="Times New Roman" w:cs="Times New Roman"/>
          <w:sz w:val="24"/>
          <w:szCs w:val="24"/>
        </w:rPr>
        <w:t>e</w:t>
      </w:r>
      <w:r w:rsidRPr="00C97452">
        <w:rPr>
          <w:rFonts w:ascii="Times New Roman" w:hAnsi="Times New Roman" w:cs="Times New Roman"/>
          <w:sz w:val="24"/>
          <w:szCs w:val="24"/>
        </w:rPr>
        <w:t xml:space="preserve">stos el acceso a bienes y servicios es el trabajo, que los salarios y prestaciones están relacionados con las capacidades, habilidades y experiencia alcanzados para su desempeño, entonces la situación en que se encuentran las y los jóvenes no es la más prometedora dadas las actuales circunstancias. Al respecto, Hernández Laos preveía, en </w:t>
      </w:r>
      <w:r w:rsidRPr="00C97452">
        <w:rPr>
          <w:rFonts w:ascii="Times New Roman" w:hAnsi="Times New Roman" w:cs="Times New Roman"/>
          <w:i/>
          <w:sz w:val="24"/>
          <w:szCs w:val="24"/>
        </w:rPr>
        <w:t xml:space="preserve">Prospectiva demográfica y </w:t>
      </w:r>
      <w:r w:rsidRPr="00C97452">
        <w:rPr>
          <w:rFonts w:ascii="Times New Roman" w:hAnsi="Times New Roman" w:cs="Times New Roman"/>
          <w:sz w:val="24"/>
          <w:szCs w:val="24"/>
        </w:rPr>
        <w:t>económica</w:t>
      </w:r>
      <w:r w:rsidRPr="00C97452">
        <w:rPr>
          <w:rFonts w:ascii="Times New Roman" w:hAnsi="Times New Roman" w:cs="Times New Roman"/>
          <w:i/>
          <w:sz w:val="24"/>
          <w:szCs w:val="24"/>
        </w:rPr>
        <w:t xml:space="preserve"> de México </w:t>
      </w:r>
      <w:r w:rsidRPr="00C97452">
        <w:rPr>
          <w:rFonts w:ascii="Times New Roman" w:hAnsi="Times New Roman" w:cs="Times New Roman"/>
          <w:sz w:val="24"/>
          <w:szCs w:val="24"/>
        </w:rPr>
        <w:t xml:space="preserve">(2000), estudio preparado para el Consejo Nacional de Población, lo siguiente: </w:t>
      </w:r>
    </w:p>
    <w:p w:rsidR="00457146" w:rsidRPr="00C97452" w:rsidRDefault="00457146" w:rsidP="00C97452">
      <w:pPr>
        <w:spacing w:after="0" w:line="360" w:lineRule="auto"/>
        <w:jc w:val="both"/>
        <w:rPr>
          <w:rFonts w:ascii="Times New Roman" w:hAnsi="Times New Roman" w:cs="Times New Roman"/>
          <w:sz w:val="24"/>
          <w:szCs w:val="24"/>
        </w:rPr>
      </w:pPr>
    </w:p>
    <w:p w:rsidR="003749A5" w:rsidRPr="00C97452" w:rsidRDefault="003749A5" w:rsidP="00C97452">
      <w:pPr>
        <w:spacing w:after="240" w:line="360" w:lineRule="auto"/>
        <w:ind w:left="720" w:right="720"/>
        <w:jc w:val="both"/>
        <w:rPr>
          <w:rFonts w:ascii="Times New Roman" w:hAnsi="Times New Roman" w:cs="Times New Roman"/>
          <w:sz w:val="24"/>
          <w:szCs w:val="24"/>
        </w:rPr>
      </w:pPr>
      <w:r w:rsidRPr="00C97452">
        <w:rPr>
          <w:rFonts w:ascii="Times New Roman" w:hAnsi="Times New Roman" w:cs="Times New Roman"/>
          <w:sz w:val="24"/>
          <w:szCs w:val="24"/>
        </w:rPr>
        <w:t xml:space="preserve">Se encuentra que, aún bajo escenarios relativamente optimistas de crecimiento, la economía mexicana no podrá generar suficientes empleos remunerados para el número de nuevos entrantes a la fuerza de trabajo esperados en el horizonte de prospectiva </w:t>
      </w:r>
      <w:r w:rsidR="008115A3" w:rsidRPr="00C97452">
        <w:rPr>
          <w:rFonts w:ascii="Times New Roman" w:hAnsi="Times New Roman" w:cs="Times New Roman"/>
          <w:sz w:val="24"/>
          <w:szCs w:val="24"/>
        </w:rPr>
        <w:t>(</w:t>
      </w:r>
      <w:r w:rsidRPr="00C97452">
        <w:rPr>
          <w:rFonts w:ascii="Times New Roman" w:hAnsi="Times New Roman" w:cs="Times New Roman"/>
          <w:sz w:val="24"/>
          <w:szCs w:val="24"/>
        </w:rPr>
        <w:t>2015</w:t>
      </w:r>
      <w:r w:rsidR="008115A3" w:rsidRPr="00C97452">
        <w:rPr>
          <w:rFonts w:ascii="Times New Roman" w:hAnsi="Times New Roman" w:cs="Times New Roman"/>
          <w:sz w:val="24"/>
          <w:szCs w:val="24"/>
        </w:rPr>
        <w:t>)</w:t>
      </w:r>
      <w:r w:rsidRPr="00C97452">
        <w:rPr>
          <w:rFonts w:ascii="Times New Roman" w:hAnsi="Times New Roman" w:cs="Times New Roman"/>
          <w:sz w:val="24"/>
          <w:szCs w:val="24"/>
        </w:rPr>
        <w:t>, y que aunque la incidencia relativa de la pobreza y de la pobreza extrema podría reducirse, el número absoluto de personas en condiciones de carencia podría aumentar considerablemente en el futuro mediato, de no presentarse un crecimiento económico acelerado o un proceso paulatino de redistribución del ingreso de los hogares (</w:t>
      </w:r>
      <w:proofErr w:type="spellStart"/>
      <w:r w:rsidRPr="00C97452">
        <w:rPr>
          <w:rFonts w:ascii="Times New Roman" w:hAnsi="Times New Roman" w:cs="Times New Roman"/>
          <w:sz w:val="24"/>
          <w:szCs w:val="24"/>
        </w:rPr>
        <w:t>sp</w:t>
      </w:r>
      <w:proofErr w:type="spellEnd"/>
      <w:r w:rsidRPr="00C97452">
        <w:rPr>
          <w:rFonts w:ascii="Times New Roman" w:hAnsi="Times New Roman" w:cs="Times New Roman"/>
          <w:sz w:val="24"/>
          <w:szCs w:val="24"/>
        </w:rPr>
        <w:t>).</w:t>
      </w:r>
    </w:p>
    <w:p w:rsidR="00457146" w:rsidRPr="00C97452" w:rsidRDefault="00457146" w:rsidP="00C97452">
      <w:pPr>
        <w:spacing w:after="240" w:line="360" w:lineRule="auto"/>
        <w:ind w:left="720" w:right="720"/>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Así, 1.1 millones de personas adicionales buscarán colocarse anualmente en el mercado de trabajo, por lo que la economía mexicana tendría que habilitar un número equivalente de </w:t>
      </w:r>
      <w:r w:rsidR="00EA2A48" w:rsidRPr="00C97452">
        <w:rPr>
          <w:rFonts w:ascii="Times New Roman" w:hAnsi="Times New Roman" w:cs="Times New Roman"/>
          <w:sz w:val="24"/>
          <w:szCs w:val="24"/>
        </w:rPr>
        <w:t>empleos</w:t>
      </w:r>
      <w:r w:rsidRPr="00C97452">
        <w:rPr>
          <w:rFonts w:ascii="Times New Roman" w:hAnsi="Times New Roman" w:cs="Times New Roman"/>
          <w:sz w:val="24"/>
          <w:szCs w:val="24"/>
        </w:rPr>
        <w:t xml:space="preserve"> (Hernández, 2000:s</w:t>
      </w:r>
      <w:r w:rsidR="00562EDD" w:rsidRPr="00C97452">
        <w:rPr>
          <w:rFonts w:ascii="Times New Roman" w:hAnsi="Times New Roman" w:cs="Times New Roman"/>
          <w:sz w:val="24"/>
          <w:szCs w:val="24"/>
        </w:rPr>
        <w:t>.</w:t>
      </w:r>
      <w:r w:rsidRPr="00C97452">
        <w:rPr>
          <w:rFonts w:ascii="Times New Roman" w:hAnsi="Times New Roman" w:cs="Times New Roman"/>
          <w:sz w:val="24"/>
          <w:szCs w:val="24"/>
        </w:rPr>
        <w:t>p</w:t>
      </w:r>
      <w:r w:rsidR="00562EDD" w:rsidRPr="00C97452">
        <w:rPr>
          <w:rFonts w:ascii="Times New Roman" w:hAnsi="Times New Roman" w:cs="Times New Roman"/>
          <w:sz w:val="24"/>
          <w:szCs w:val="24"/>
        </w:rPr>
        <w:t>.</w:t>
      </w:r>
      <w:r w:rsidRPr="00C97452">
        <w:rPr>
          <w:rFonts w:ascii="Times New Roman" w:hAnsi="Times New Roman" w:cs="Times New Roman"/>
          <w:sz w:val="24"/>
          <w:szCs w:val="24"/>
        </w:rPr>
        <w:t>), objetivo que ha sido pretendido m</w:t>
      </w:r>
      <w:r w:rsidR="008115A3" w:rsidRPr="00C97452">
        <w:rPr>
          <w:rFonts w:ascii="Times New Roman" w:hAnsi="Times New Roman" w:cs="Times New Roman"/>
          <w:sz w:val="24"/>
          <w:szCs w:val="24"/>
        </w:rPr>
        <w:t>a</w:t>
      </w:r>
      <w:r w:rsidRPr="00C97452">
        <w:rPr>
          <w:rFonts w:ascii="Times New Roman" w:hAnsi="Times New Roman" w:cs="Times New Roman"/>
          <w:sz w:val="24"/>
          <w:szCs w:val="24"/>
        </w:rPr>
        <w:t xml:space="preserve">s no alcanzado por los </w:t>
      </w:r>
      <w:r w:rsidR="00EA2A48" w:rsidRPr="00C97452">
        <w:rPr>
          <w:rFonts w:ascii="Times New Roman" w:hAnsi="Times New Roman" w:cs="Times New Roman"/>
          <w:sz w:val="24"/>
          <w:szCs w:val="24"/>
        </w:rPr>
        <w:t xml:space="preserve">titulares del ejecutivo federal desde el año 2000. </w:t>
      </w:r>
      <w:r w:rsidRPr="00C97452">
        <w:rPr>
          <w:rFonts w:ascii="Times New Roman" w:hAnsi="Times New Roman" w:cs="Times New Roman"/>
          <w:sz w:val="24"/>
          <w:szCs w:val="24"/>
        </w:rPr>
        <w:t xml:space="preserve">Además, en este contexto </w:t>
      </w:r>
      <w:r w:rsidRPr="00C97452">
        <w:rPr>
          <w:rFonts w:ascii="Times New Roman" w:hAnsi="Times New Roman" w:cs="Times New Roman"/>
          <w:sz w:val="24"/>
          <w:szCs w:val="24"/>
          <w:lang w:eastAsia="es-MX"/>
        </w:rPr>
        <w:t xml:space="preserve">se produce la </w:t>
      </w:r>
      <w:r w:rsidRPr="00C97452">
        <w:rPr>
          <w:rFonts w:ascii="Times New Roman" w:hAnsi="Times New Roman" w:cs="Times New Roman"/>
          <w:sz w:val="24"/>
          <w:szCs w:val="24"/>
        </w:rPr>
        <w:lastRenderedPageBreak/>
        <w:t>transición de un entorno económico donde prevalecía una tasa de ocupación laboral cercana al pleno empleo, a un periodo que registra la pérdida de miles de empleos:</w:t>
      </w:r>
    </w:p>
    <w:p w:rsidR="00457146" w:rsidRPr="00C97452" w:rsidRDefault="00457146"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ind w:left="720" w:right="720"/>
        <w:jc w:val="both"/>
        <w:rPr>
          <w:rFonts w:ascii="Times New Roman" w:hAnsi="Times New Roman" w:cs="Times New Roman"/>
          <w:sz w:val="24"/>
          <w:szCs w:val="24"/>
        </w:rPr>
      </w:pPr>
      <w:r w:rsidRPr="00C97452">
        <w:rPr>
          <w:rFonts w:ascii="Times New Roman" w:hAnsi="Times New Roman" w:cs="Times New Roman"/>
          <w:sz w:val="24"/>
          <w:szCs w:val="24"/>
        </w:rPr>
        <w:t>En el municipio de Juárez en octubre de 2000 se registraban 434</w:t>
      </w:r>
      <w:r w:rsidR="008115A3" w:rsidRPr="00C97452">
        <w:rPr>
          <w:rFonts w:ascii="Times New Roman" w:hAnsi="Times New Roman" w:cs="Times New Roman"/>
          <w:sz w:val="24"/>
          <w:szCs w:val="24"/>
        </w:rPr>
        <w:t xml:space="preserve"> </w:t>
      </w:r>
      <w:r w:rsidRPr="00C97452">
        <w:rPr>
          <w:rFonts w:ascii="Times New Roman" w:hAnsi="Times New Roman" w:cs="Times New Roman"/>
          <w:sz w:val="24"/>
          <w:szCs w:val="24"/>
        </w:rPr>
        <w:t>349 asegurados en el IMSS</w:t>
      </w:r>
      <w:r w:rsidR="00C406CE" w:rsidRPr="00C97452">
        <w:rPr>
          <w:rFonts w:ascii="Times New Roman" w:hAnsi="Times New Roman" w:cs="Times New Roman"/>
          <w:sz w:val="24"/>
          <w:szCs w:val="24"/>
        </w:rPr>
        <w:t>,</w:t>
      </w:r>
      <w:r w:rsidRPr="00C97452">
        <w:rPr>
          <w:rFonts w:ascii="Times New Roman" w:hAnsi="Times New Roman" w:cs="Times New Roman"/>
          <w:sz w:val="24"/>
          <w:szCs w:val="24"/>
        </w:rPr>
        <w:t xml:space="preserve"> de los cuales 295</w:t>
      </w:r>
      <w:r w:rsidR="008115A3" w:rsidRPr="00C97452">
        <w:rPr>
          <w:rFonts w:ascii="Times New Roman" w:hAnsi="Times New Roman" w:cs="Times New Roman"/>
          <w:sz w:val="24"/>
          <w:szCs w:val="24"/>
        </w:rPr>
        <w:t xml:space="preserve"> </w:t>
      </w:r>
      <w:r w:rsidRPr="00C97452">
        <w:rPr>
          <w:rFonts w:ascii="Times New Roman" w:hAnsi="Times New Roman" w:cs="Times New Roman"/>
          <w:sz w:val="24"/>
          <w:szCs w:val="24"/>
        </w:rPr>
        <w:t>557 se encontraban en la industria de transformación representando 68.1</w:t>
      </w:r>
      <w:r w:rsidR="008115A3" w:rsidRPr="00C97452">
        <w:rPr>
          <w:rFonts w:ascii="Times New Roman" w:hAnsi="Times New Roman" w:cs="Times New Roman"/>
          <w:sz w:val="24"/>
          <w:szCs w:val="24"/>
        </w:rPr>
        <w:t xml:space="preserve"> </w:t>
      </w:r>
      <w:r w:rsidRPr="00C97452">
        <w:rPr>
          <w:rFonts w:ascii="Times New Roman" w:hAnsi="Times New Roman" w:cs="Times New Roman"/>
          <w:sz w:val="24"/>
          <w:szCs w:val="24"/>
        </w:rPr>
        <w:t>% del total de asegurados y 67.2</w:t>
      </w:r>
      <w:r w:rsidR="008115A3" w:rsidRPr="00C97452">
        <w:rPr>
          <w:rFonts w:ascii="Times New Roman" w:hAnsi="Times New Roman" w:cs="Times New Roman"/>
          <w:sz w:val="24"/>
          <w:szCs w:val="24"/>
        </w:rPr>
        <w:t xml:space="preserve"> </w:t>
      </w:r>
      <w:r w:rsidRPr="00C97452">
        <w:rPr>
          <w:rFonts w:ascii="Times New Roman" w:hAnsi="Times New Roman" w:cs="Times New Roman"/>
          <w:sz w:val="24"/>
          <w:szCs w:val="24"/>
        </w:rPr>
        <w:t>% del total de los asegurados en la industria a nivel estatal. Esta fue la época de mayor expansión del empleo maquilador ya que en años posteriores se verían los efectos de la desaceleración económica de Estados Unidos.</w:t>
      </w:r>
    </w:p>
    <w:p w:rsidR="003749A5" w:rsidRPr="00C97452" w:rsidRDefault="003749A5" w:rsidP="00C97452">
      <w:pPr>
        <w:spacing w:line="360" w:lineRule="auto"/>
        <w:ind w:left="720" w:right="720"/>
        <w:jc w:val="both"/>
        <w:rPr>
          <w:rFonts w:ascii="Times New Roman" w:hAnsi="Times New Roman" w:cs="Times New Roman"/>
          <w:sz w:val="24"/>
          <w:szCs w:val="24"/>
        </w:rPr>
      </w:pPr>
      <w:r w:rsidRPr="00C97452">
        <w:rPr>
          <w:rFonts w:ascii="Times New Roman" w:hAnsi="Times New Roman" w:cs="Times New Roman"/>
          <w:sz w:val="24"/>
          <w:szCs w:val="24"/>
        </w:rPr>
        <w:t>Para Junio de 2003, lo</w:t>
      </w:r>
      <w:r w:rsidR="008115A3" w:rsidRPr="00C97452">
        <w:rPr>
          <w:rFonts w:ascii="Times New Roman" w:hAnsi="Times New Roman" w:cs="Times New Roman"/>
          <w:sz w:val="24"/>
          <w:szCs w:val="24"/>
        </w:rPr>
        <w:t>s</w:t>
      </w:r>
      <w:r w:rsidRPr="00C97452">
        <w:rPr>
          <w:rFonts w:ascii="Times New Roman" w:hAnsi="Times New Roman" w:cs="Times New Roman"/>
          <w:sz w:val="24"/>
          <w:szCs w:val="24"/>
        </w:rPr>
        <w:t xml:space="preserve"> asegurados en el IMSS para el municipio de Juárez eran 329</w:t>
      </w:r>
      <w:r w:rsidR="008115A3" w:rsidRPr="00C97452">
        <w:rPr>
          <w:rFonts w:ascii="Times New Roman" w:hAnsi="Times New Roman" w:cs="Times New Roman"/>
          <w:sz w:val="24"/>
          <w:szCs w:val="24"/>
        </w:rPr>
        <w:t xml:space="preserve"> </w:t>
      </w:r>
      <w:r w:rsidRPr="00C97452">
        <w:rPr>
          <w:rFonts w:ascii="Times New Roman" w:hAnsi="Times New Roman" w:cs="Times New Roman"/>
          <w:sz w:val="24"/>
          <w:szCs w:val="24"/>
        </w:rPr>
        <w:t>470 y para la industria de la transformación 198</w:t>
      </w:r>
      <w:r w:rsidR="008115A3" w:rsidRPr="00C97452">
        <w:rPr>
          <w:rFonts w:ascii="Times New Roman" w:hAnsi="Times New Roman" w:cs="Times New Roman"/>
          <w:sz w:val="24"/>
          <w:szCs w:val="24"/>
        </w:rPr>
        <w:t xml:space="preserve"> </w:t>
      </w:r>
      <w:r w:rsidRPr="00C97452">
        <w:rPr>
          <w:rFonts w:ascii="Times New Roman" w:hAnsi="Times New Roman" w:cs="Times New Roman"/>
          <w:sz w:val="24"/>
          <w:szCs w:val="24"/>
        </w:rPr>
        <w:t>071 asegurados, estos representaban 60.1</w:t>
      </w:r>
      <w:r w:rsidR="008115A3" w:rsidRPr="00C97452">
        <w:rPr>
          <w:rFonts w:ascii="Times New Roman" w:hAnsi="Times New Roman" w:cs="Times New Roman"/>
          <w:sz w:val="24"/>
          <w:szCs w:val="24"/>
        </w:rPr>
        <w:t xml:space="preserve"> </w:t>
      </w:r>
      <w:r w:rsidRPr="00C97452">
        <w:rPr>
          <w:rFonts w:ascii="Times New Roman" w:hAnsi="Times New Roman" w:cs="Times New Roman"/>
          <w:sz w:val="24"/>
          <w:szCs w:val="24"/>
        </w:rPr>
        <w:t>% del total de asegurados en el municipio, en menos de tres años se perdieron 104</w:t>
      </w:r>
      <w:r w:rsidR="008115A3" w:rsidRPr="00C97452">
        <w:rPr>
          <w:rFonts w:ascii="Times New Roman" w:hAnsi="Times New Roman" w:cs="Times New Roman"/>
          <w:sz w:val="24"/>
          <w:szCs w:val="24"/>
        </w:rPr>
        <w:t xml:space="preserve"> </w:t>
      </w:r>
      <w:r w:rsidRPr="00C97452">
        <w:rPr>
          <w:rFonts w:ascii="Times New Roman" w:hAnsi="Times New Roman" w:cs="Times New Roman"/>
          <w:sz w:val="24"/>
          <w:szCs w:val="24"/>
        </w:rPr>
        <w:t>879</w:t>
      </w:r>
      <w:r w:rsidR="008115A3" w:rsidRPr="00C97452">
        <w:rPr>
          <w:rFonts w:ascii="Times New Roman" w:hAnsi="Times New Roman" w:cs="Times New Roman"/>
          <w:sz w:val="24"/>
          <w:szCs w:val="24"/>
        </w:rPr>
        <w:t>,</w:t>
      </w:r>
      <w:r w:rsidRPr="00C97452">
        <w:rPr>
          <w:rFonts w:ascii="Times New Roman" w:hAnsi="Times New Roman" w:cs="Times New Roman"/>
          <w:sz w:val="24"/>
          <w:szCs w:val="24"/>
        </w:rPr>
        <w:t xml:space="preserve"> de los cuales 97</w:t>
      </w:r>
      <w:r w:rsidR="008115A3" w:rsidRPr="00C97452">
        <w:rPr>
          <w:rFonts w:ascii="Times New Roman" w:hAnsi="Times New Roman" w:cs="Times New Roman"/>
          <w:sz w:val="24"/>
          <w:szCs w:val="24"/>
        </w:rPr>
        <w:t xml:space="preserve"> </w:t>
      </w:r>
      <w:r w:rsidRPr="00C97452">
        <w:rPr>
          <w:rFonts w:ascii="Times New Roman" w:hAnsi="Times New Roman" w:cs="Times New Roman"/>
          <w:sz w:val="24"/>
          <w:szCs w:val="24"/>
        </w:rPr>
        <w:t>486 correspondían a la industria de la transformación</w:t>
      </w:r>
      <w:r w:rsidR="008115A3" w:rsidRPr="00C97452">
        <w:rPr>
          <w:rFonts w:ascii="Times New Roman" w:hAnsi="Times New Roman" w:cs="Times New Roman"/>
          <w:sz w:val="24"/>
          <w:szCs w:val="24"/>
        </w:rPr>
        <w:t>,</w:t>
      </w:r>
      <w:r w:rsidRPr="00C97452">
        <w:rPr>
          <w:rFonts w:ascii="Times New Roman" w:hAnsi="Times New Roman" w:cs="Times New Roman"/>
          <w:sz w:val="24"/>
          <w:szCs w:val="24"/>
        </w:rPr>
        <w:t xml:space="preserve"> es decir</w:t>
      </w:r>
      <w:r w:rsidR="008115A3" w:rsidRPr="00C97452">
        <w:rPr>
          <w:rFonts w:ascii="Times New Roman" w:hAnsi="Times New Roman" w:cs="Times New Roman"/>
          <w:sz w:val="24"/>
          <w:szCs w:val="24"/>
        </w:rPr>
        <w:t>,</w:t>
      </w:r>
      <w:r w:rsidRPr="00C97452">
        <w:rPr>
          <w:rFonts w:ascii="Times New Roman" w:hAnsi="Times New Roman" w:cs="Times New Roman"/>
          <w:sz w:val="24"/>
          <w:szCs w:val="24"/>
        </w:rPr>
        <w:t xml:space="preserve"> 92.9</w:t>
      </w:r>
      <w:r w:rsidR="008115A3" w:rsidRPr="00C97452">
        <w:rPr>
          <w:rFonts w:ascii="Times New Roman" w:hAnsi="Times New Roman" w:cs="Times New Roman"/>
          <w:sz w:val="24"/>
          <w:szCs w:val="24"/>
        </w:rPr>
        <w:t xml:space="preserve"> </w:t>
      </w:r>
      <w:r w:rsidRPr="00C97452">
        <w:rPr>
          <w:rFonts w:ascii="Times New Roman" w:hAnsi="Times New Roman" w:cs="Times New Roman"/>
          <w:sz w:val="24"/>
          <w:szCs w:val="24"/>
        </w:rPr>
        <w:t>% de los empleos que se perdieron eran maquiladores (IMIP-Secretaría de Desarrollo Industrial, s</w:t>
      </w:r>
      <w:r w:rsidR="00562EDD" w:rsidRPr="00C97452">
        <w:rPr>
          <w:rFonts w:ascii="Times New Roman" w:hAnsi="Times New Roman" w:cs="Times New Roman"/>
          <w:sz w:val="24"/>
          <w:szCs w:val="24"/>
        </w:rPr>
        <w:t>.</w:t>
      </w:r>
      <w:r w:rsidRPr="00C97452">
        <w:rPr>
          <w:rFonts w:ascii="Times New Roman" w:hAnsi="Times New Roman" w:cs="Times New Roman"/>
          <w:sz w:val="24"/>
          <w:szCs w:val="24"/>
        </w:rPr>
        <w:t>a</w:t>
      </w:r>
      <w:r w:rsidR="00562EDD" w:rsidRPr="00C97452">
        <w:rPr>
          <w:rFonts w:ascii="Times New Roman" w:hAnsi="Times New Roman" w:cs="Times New Roman"/>
          <w:sz w:val="24"/>
          <w:szCs w:val="24"/>
        </w:rPr>
        <w:t>.</w:t>
      </w:r>
      <w:r w:rsidR="008115A3" w:rsidRPr="00C97452">
        <w:rPr>
          <w:rFonts w:ascii="Times New Roman" w:hAnsi="Times New Roman" w:cs="Times New Roman"/>
          <w:sz w:val="24"/>
          <w:szCs w:val="24"/>
        </w:rPr>
        <w:t xml:space="preserve">, p. </w:t>
      </w:r>
      <w:r w:rsidRPr="00C97452">
        <w:rPr>
          <w:rFonts w:ascii="Times New Roman" w:hAnsi="Times New Roman" w:cs="Times New Roman"/>
          <w:sz w:val="24"/>
          <w:szCs w:val="24"/>
        </w:rPr>
        <w:t>25).</w:t>
      </w:r>
    </w:p>
    <w:p w:rsidR="003749A5" w:rsidRPr="00C97452" w:rsidRDefault="003749A5" w:rsidP="00C97452">
      <w:pPr>
        <w:spacing w:after="0" w:line="360" w:lineRule="auto"/>
        <w:jc w:val="both"/>
        <w:rPr>
          <w:rFonts w:ascii="Times New Roman" w:hAnsi="Times New Roman" w:cs="Times New Roman"/>
          <w:sz w:val="24"/>
          <w:szCs w:val="24"/>
          <w:lang w:eastAsia="es-MX"/>
        </w:rPr>
      </w:pPr>
      <w:r w:rsidRPr="00C97452">
        <w:rPr>
          <w:rFonts w:ascii="Times New Roman" w:hAnsi="Times New Roman" w:cs="Times New Roman"/>
          <w:sz w:val="24"/>
          <w:szCs w:val="24"/>
        </w:rPr>
        <w:t>A partir de 2008, los asesinatos de hombres y mujeres se acrecientan en el marco del Operativo Conjunto Chihuahua, estrategia gubernamental para enfrentar la delincuencia organizada y el narcotráfico.</w:t>
      </w:r>
      <w:r w:rsidRPr="00C97452">
        <w:rPr>
          <w:rFonts w:ascii="Times New Roman" w:hAnsi="Times New Roman" w:cs="Times New Roman"/>
          <w:sz w:val="24"/>
          <w:szCs w:val="24"/>
          <w:lang w:eastAsia="es-MX"/>
        </w:rPr>
        <w:t xml:space="preserve"> Tan agresiva es la intervención de las fuerzas de seguridad y del ejército, que en </w:t>
      </w:r>
      <w:r w:rsidR="00375923" w:rsidRPr="00C97452">
        <w:rPr>
          <w:rFonts w:ascii="Times New Roman" w:hAnsi="Times New Roman" w:cs="Times New Roman"/>
          <w:sz w:val="24"/>
          <w:szCs w:val="24"/>
          <w:lang w:eastAsia="es-MX"/>
        </w:rPr>
        <w:t>el</w:t>
      </w:r>
      <w:r w:rsidRPr="00C97452">
        <w:rPr>
          <w:rFonts w:ascii="Times New Roman" w:hAnsi="Times New Roman" w:cs="Times New Roman"/>
          <w:sz w:val="24"/>
          <w:szCs w:val="24"/>
          <w:lang w:eastAsia="es-MX"/>
        </w:rPr>
        <w:t xml:space="preserve"> periodo de enero de 2008 a julio de 2012, s</w:t>
      </w:r>
      <w:r w:rsidR="00574DCF" w:rsidRPr="00C97452">
        <w:rPr>
          <w:rFonts w:ascii="Times New Roman" w:hAnsi="Times New Roman" w:cs="Times New Roman"/>
          <w:sz w:val="24"/>
          <w:szCs w:val="24"/>
          <w:lang w:eastAsia="es-MX"/>
        </w:rPr>
        <w:t>o</w:t>
      </w:r>
      <w:r w:rsidRPr="00C97452">
        <w:rPr>
          <w:rFonts w:ascii="Times New Roman" w:hAnsi="Times New Roman" w:cs="Times New Roman"/>
          <w:sz w:val="24"/>
          <w:szCs w:val="24"/>
          <w:lang w:eastAsia="es-MX"/>
        </w:rPr>
        <w:t>lo se tienen 101 días en los que no se hubieran presentado homicidios, destacando el año 2010, que s</w:t>
      </w:r>
      <w:r w:rsidR="00574DCF" w:rsidRPr="00C97452">
        <w:rPr>
          <w:rFonts w:ascii="Times New Roman" w:hAnsi="Times New Roman" w:cs="Times New Roman"/>
          <w:sz w:val="24"/>
          <w:szCs w:val="24"/>
          <w:lang w:eastAsia="es-MX"/>
        </w:rPr>
        <w:t>o</w:t>
      </w:r>
      <w:r w:rsidRPr="00C97452">
        <w:rPr>
          <w:rFonts w:ascii="Times New Roman" w:hAnsi="Times New Roman" w:cs="Times New Roman"/>
          <w:sz w:val="24"/>
          <w:szCs w:val="24"/>
          <w:lang w:eastAsia="es-MX"/>
        </w:rPr>
        <w:t xml:space="preserve">lo tuvo siete días sin </w:t>
      </w:r>
      <w:r w:rsidRPr="00C97452">
        <w:rPr>
          <w:rFonts w:ascii="Times New Roman" w:hAnsi="Times New Roman" w:cs="Times New Roman"/>
          <w:sz w:val="24"/>
          <w:szCs w:val="24"/>
        </w:rPr>
        <w:t>registrar</w:t>
      </w:r>
      <w:r w:rsidRPr="00C97452">
        <w:rPr>
          <w:rFonts w:ascii="Times New Roman" w:hAnsi="Times New Roman" w:cs="Times New Roman"/>
          <w:sz w:val="24"/>
          <w:szCs w:val="24"/>
          <w:lang w:eastAsia="es-MX"/>
        </w:rPr>
        <w:t xml:space="preserve"> estos hechos de sangre.  </w:t>
      </w:r>
    </w:p>
    <w:p w:rsidR="003A2840" w:rsidRPr="00C97452" w:rsidRDefault="003A2840" w:rsidP="00C97452">
      <w:pPr>
        <w:spacing w:after="0" w:line="360" w:lineRule="auto"/>
        <w:jc w:val="both"/>
        <w:rPr>
          <w:rFonts w:ascii="Times New Roman" w:hAnsi="Times New Roman" w:cs="Times New Roman"/>
          <w:sz w:val="24"/>
          <w:szCs w:val="24"/>
          <w:lang w:eastAsia="es-MX"/>
        </w:rPr>
      </w:pPr>
    </w:p>
    <w:p w:rsidR="003749A5" w:rsidRPr="00C97452" w:rsidRDefault="003749A5" w:rsidP="00C97452">
      <w:pPr>
        <w:spacing w:after="0" w:line="360" w:lineRule="auto"/>
        <w:jc w:val="both"/>
        <w:rPr>
          <w:rFonts w:ascii="Times New Roman" w:hAnsi="Times New Roman" w:cs="Times New Roman"/>
          <w:sz w:val="24"/>
          <w:szCs w:val="24"/>
          <w:lang w:val="es-MX" w:eastAsia="es-MX"/>
        </w:rPr>
      </w:pPr>
      <w:r w:rsidRPr="00C97452">
        <w:rPr>
          <w:rFonts w:ascii="Times New Roman" w:hAnsi="Times New Roman" w:cs="Times New Roman"/>
          <w:sz w:val="24"/>
          <w:szCs w:val="24"/>
          <w:lang w:eastAsia="es-MX"/>
        </w:rPr>
        <w:t xml:space="preserve">Esta perspectiva se comprende de mejor manera si </w:t>
      </w:r>
      <w:r w:rsidRPr="00C97452">
        <w:rPr>
          <w:rFonts w:ascii="Times New Roman" w:hAnsi="Times New Roman" w:cs="Times New Roman"/>
          <w:sz w:val="24"/>
          <w:szCs w:val="24"/>
        </w:rPr>
        <w:t>se</w:t>
      </w:r>
      <w:r w:rsidRPr="00C97452">
        <w:rPr>
          <w:rFonts w:ascii="Times New Roman" w:hAnsi="Times New Roman" w:cs="Times New Roman"/>
          <w:sz w:val="24"/>
          <w:szCs w:val="24"/>
          <w:lang w:eastAsia="es-MX"/>
        </w:rPr>
        <w:t xml:space="preserve"> toman en cuenta los datos aportados en el informe </w:t>
      </w:r>
      <w:r w:rsidRPr="00C97452">
        <w:rPr>
          <w:rFonts w:ascii="Times New Roman" w:hAnsi="Times New Roman" w:cs="Times New Roman"/>
          <w:i/>
          <w:sz w:val="24"/>
          <w:szCs w:val="24"/>
          <w:lang w:eastAsia="es-MX"/>
        </w:rPr>
        <w:t>La Infancia Cuenta en la Frontera Norte 2008</w:t>
      </w:r>
      <w:r w:rsidRPr="00C97452">
        <w:rPr>
          <w:rFonts w:ascii="Times New Roman" w:hAnsi="Times New Roman" w:cs="Times New Roman"/>
          <w:sz w:val="24"/>
          <w:szCs w:val="24"/>
          <w:lang w:eastAsia="es-MX"/>
        </w:rPr>
        <w:t>, en el que se destacaba un</w:t>
      </w:r>
      <w:r w:rsidR="00375923" w:rsidRPr="00C97452">
        <w:rPr>
          <w:rFonts w:ascii="Times New Roman" w:hAnsi="Times New Roman" w:cs="Times New Roman"/>
          <w:sz w:val="24"/>
          <w:szCs w:val="24"/>
          <w:lang w:eastAsia="es-MX"/>
        </w:rPr>
        <w:t>a</w:t>
      </w:r>
      <w:r w:rsidRPr="00C97452">
        <w:rPr>
          <w:rFonts w:ascii="Times New Roman" w:hAnsi="Times New Roman" w:cs="Times New Roman"/>
          <w:sz w:val="24"/>
          <w:szCs w:val="24"/>
          <w:lang w:eastAsia="es-MX"/>
        </w:rPr>
        <w:t xml:space="preserve"> mejoría en el indicador que hace referencia al homicidio de adolescentes: “Chihuahua es el estado peor clasificado con una tasa de 15.6 adolescentes asesinados por cada 100 mil. Esta cifra es más del doble de la media nacional (5.7), sin embargo</w:t>
      </w:r>
      <w:r w:rsidR="00574DCF" w:rsidRPr="00C97452">
        <w:rPr>
          <w:rFonts w:ascii="Times New Roman" w:hAnsi="Times New Roman" w:cs="Times New Roman"/>
          <w:sz w:val="24"/>
          <w:szCs w:val="24"/>
          <w:lang w:eastAsia="es-MX"/>
        </w:rPr>
        <w:t>,</w:t>
      </w:r>
      <w:r w:rsidRPr="00C97452">
        <w:rPr>
          <w:rFonts w:ascii="Times New Roman" w:hAnsi="Times New Roman" w:cs="Times New Roman"/>
          <w:sz w:val="24"/>
          <w:szCs w:val="24"/>
          <w:lang w:eastAsia="es-MX"/>
        </w:rPr>
        <w:t xml:space="preserve"> ha disminuido de 22.2 en 2000, a 15.6 en 2005”. (</w:t>
      </w:r>
      <w:r w:rsidRPr="00C97452">
        <w:rPr>
          <w:rFonts w:ascii="Times New Roman" w:hAnsi="Times New Roman" w:cs="Times New Roman"/>
          <w:bCs/>
          <w:sz w:val="24"/>
          <w:szCs w:val="24"/>
          <w:lang w:eastAsia="es-MX"/>
        </w:rPr>
        <w:t xml:space="preserve">Martha Elba Figueroa, </w:t>
      </w:r>
      <w:r w:rsidRPr="00C97452">
        <w:rPr>
          <w:rFonts w:ascii="Times New Roman" w:hAnsi="Times New Roman" w:cs="Times New Roman"/>
          <w:bCs/>
          <w:i/>
          <w:sz w:val="24"/>
          <w:szCs w:val="24"/>
          <w:lang w:eastAsia="es-MX"/>
        </w:rPr>
        <w:t>El Diario</w:t>
      </w:r>
      <w:r w:rsidRPr="00C97452">
        <w:rPr>
          <w:rFonts w:ascii="Times New Roman" w:hAnsi="Times New Roman" w:cs="Times New Roman"/>
          <w:bCs/>
          <w:sz w:val="24"/>
          <w:szCs w:val="24"/>
          <w:lang w:eastAsia="es-MX"/>
        </w:rPr>
        <w:t>, 12 de septiembre de 2008). Esta disminución se vio alterada y revertida a partir de 2008, de manera que de 2008 a 2011, se registran 1</w:t>
      </w:r>
      <w:r w:rsidR="00574DCF" w:rsidRPr="00C97452">
        <w:rPr>
          <w:rFonts w:ascii="Times New Roman" w:hAnsi="Times New Roman" w:cs="Times New Roman"/>
          <w:bCs/>
          <w:sz w:val="24"/>
          <w:szCs w:val="24"/>
          <w:lang w:eastAsia="es-MX"/>
        </w:rPr>
        <w:t xml:space="preserve"> </w:t>
      </w:r>
      <w:r w:rsidRPr="00C97452">
        <w:rPr>
          <w:rFonts w:ascii="Times New Roman" w:hAnsi="Times New Roman" w:cs="Times New Roman"/>
          <w:bCs/>
          <w:sz w:val="24"/>
          <w:szCs w:val="24"/>
          <w:lang w:eastAsia="es-MX"/>
        </w:rPr>
        <w:t xml:space="preserve">121 homicidios de menores de 19 años, representando los jóvenes de 15 a 19 </w:t>
      </w:r>
      <w:r w:rsidRPr="00C97452">
        <w:rPr>
          <w:rFonts w:ascii="Times New Roman" w:hAnsi="Times New Roman" w:cs="Times New Roman"/>
          <w:bCs/>
          <w:sz w:val="24"/>
          <w:szCs w:val="24"/>
          <w:lang w:eastAsia="es-MX"/>
        </w:rPr>
        <w:lastRenderedPageBreak/>
        <w:t>años el 88</w:t>
      </w:r>
      <w:r w:rsidR="00574DCF" w:rsidRPr="00C97452">
        <w:rPr>
          <w:rFonts w:ascii="Times New Roman" w:hAnsi="Times New Roman" w:cs="Times New Roman"/>
          <w:bCs/>
          <w:sz w:val="24"/>
          <w:szCs w:val="24"/>
          <w:lang w:eastAsia="es-MX"/>
        </w:rPr>
        <w:t xml:space="preserve"> </w:t>
      </w:r>
      <w:r w:rsidRPr="00C97452">
        <w:rPr>
          <w:rFonts w:ascii="Times New Roman" w:hAnsi="Times New Roman" w:cs="Times New Roman"/>
          <w:bCs/>
          <w:sz w:val="24"/>
          <w:szCs w:val="24"/>
          <w:lang w:eastAsia="es-MX"/>
        </w:rPr>
        <w:t xml:space="preserve">% de los casos. </w:t>
      </w:r>
      <w:r w:rsidRPr="00C97452">
        <w:rPr>
          <w:rFonts w:ascii="Times New Roman" w:hAnsi="Times New Roman" w:cs="Times New Roman"/>
          <w:sz w:val="24"/>
          <w:szCs w:val="24"/>
        </w:rPr>
        <w:t xml:space="preserve">Este hecho es de la mayor relevancia tratándose de jóvenes, sobre todo en condiciones como las prevalecientes en esta ciudad, similares a las señaladas por </w:t>
      </w:r>
      <w:proofErr w:type="spellStart"/>
      <w:r w:rsidRPr="00C97452">
        <w:rPr>
          <w:rFonts w:ascii="Times New Roman" w:hAnsi="Times New Roman" w:cs="Times New Roman"/>
          <w:sz w:val="24"/>
          <w:szCs w:val="24"/>
          <w:lang w:val="es-MX" w:eastAsia="es-MX"/>
        </w:rPr>
        <w:t>Krauskopf</w:t>
      </w:r>
      <w:proofErr w:type="spellEnd"/>
      <w:r w:rsidRPr="00C97452">
        <w:rPr>
          <w:rFonts w:ascii="Times New Roman" w:hAnsi="Times New Roman" w:cs="Times New Roman"/>
          <w:sz w:val="24"/>
          <w:szCs w:val="24"/>
          <w:lang w:val="es-MX" w:eastAsia="es-MX"/>
        </w:rPr>
        <w:t>:</w:t>
      </w:r>
    </w:p>
    <w:p w:rsidR="00457146" w:rsidRPr="00C97452" w:rsidRDefault="00457146" w:rsidP="00C97452">
      <w:pPr>
        <w:spacing w:after="0" w:line="360" w:lineRule="auto"/>
        <w:jc w:val="both"/>
        <w:rPr>
          <w:rFonts w:ascii="Times New Roman" w:hAnsi="Times New Roman" w:cs="Times New Roman"/>
          <w:bCs/>
          <w:sz w:val="24"/>
          <w:szCs w:val="24"/>
          <w:lang w:eastAsia="es-MX"/>
        </w:rPr>
      </w:pPr>
    </w:p>
    <w:p w:rsidR="003749A5" w:rsidRPr="00C97452" w:rsidRDefault="003749A5" w:rsidP="00C97452">
      <w:pPr>
        <w:autoSpaceDE w:val="0"/>
        <w:autoSpaceDN w:val="0"/>
        <w:adjustRightInd w:val="0"/>
        <w:spacing w:line="360" w:lineRule="auto"/>
        <w:ind w:left="720" w:right="720"/>
        <w:jc w:val="both"/>
        <w:rPr>
          <w:rFonts w:ascii="Times New Roman" w:hAnsi="Times New Roman" w:cs="Times New Roman"/>
          <w:sz w:val="24"/>
          <w:szCs w:val="24"/>
          <w:lang w:val="es-MX" w:eastAsia="es-MX"/>
        </w:rPr>
      </w:pPr>
      <w:r w:rsidRPr="00C97452">
        <w:rPr>
          <w:rFonts w:ascii="Times New Roman" w:hAnsi="Times New Roman" w:cs="Times New Roman"/>
          <w:sz w:val="24"/>
          <w:szCs w:val="24"/>
          <w:lang w:val="es-MX" w:eastAsia="es-MX"/>
        </w:rPr>
        <w:t xml:space="preserve">En el riesgo estructural incluimos 1) la emigración y transculturización juvenil como modalidad de expulsión por falta de oportunidades, 2) los entornos riesgosos, desprotegidos, bélicos, </w:t>
      </w:r>
      <w:proofErr w:type="spellStart"/>
      <w:r w:rsidRPr="00C97452">
        <w:rPr>
          <w:rFonts w:ascii="Times New Roman" w:hAnsi="Times New Roman" w:cs="Times New Roman"/>
          <w:sz w:val="24"/>
          <w:szCs w:val="24"/>
          <w:lang w:val="es-MX" w:eastAsia="es-MX"/>
        </w:rPr>
        <w:t>criminalizantes</w:t>
      </w:r>
      <w:proofErr w:type="spellEnd"/>
      <w:r w:rsidRPr="00C97452">
        <w:rPr>
          <w:rFonts w:ascii="Times New Roman" w:hAnsi="Times New Roman" w:cs="Times New Roman"/>
          <w:sz w:val="24"/>
          <w:szCs w:val="24"/>
          <w:lang w:val="es-MX" w:eastAsia="es-MX"/>
        </w:rPr>
        <w:t>; 3) los territorios donde la identidad positiva del colectivo es denegada socialmente; 4) las carencias de espacios para la incorporación de habilidades y destrezas para la progresión de la calidad de vida y la incorporación social; 5) la carencia de espacios de expresión y participación juvenil legitimada; 6) la calle como espacio fundamental de socialización y aprendizaje; 7) la percepción social estigmatizada de lo juvenil; 8) la estigmatización de pobreza y violencia juvenil como delincuencia; 9) la resocialización en la cárcel; 10) la ausencia de instituciones de protección y desarrollo (200</w:t>
      </w:r>
      <w:r w:rsidR="00E13A16" w:rsidRPr="00C97452">
        <w:rPr>
          <w:rFonts w:ascii="Times New Roman" w:hAnsi="Times New Roman" w:cs="Times New Roman"/>
          <w:sz w:val="24"/>
          <w:szCs w:val="24"/>
          <w:lang w:val="es-MX" w:eastAsia="es-MX"/>
        </w:rPr>
        <w:t>6</w:t>
      </w:r>
      <w:r w:rsidR="00223F51" w:rsidRPr="00C97452">
        <w:rPr>
          <w:rFonts w:ascii="Times New Roman" w:hAnsi="Times New Roman" w:cs="Times New Roman"/>
          <w:sz w:val="24"/>
          <w:szCs w:val="24"/>
          <w:lang w:val="es-MX" w:eastAsia="es-MX"/>
        </w:rPr>
        <w:t xml:space="preserve">, p. </w:t>
      </w:r>
      <w:r w:rsidR="00E13A16" w:rsidRPr="00C97452">
        <w:rPr>
          <w:rFonts w:ascii="Times New Roman" w:hAnsi="Times New Roman" w:cs="Times New Roman"/>
          <w:sz w:val="24"/>
          <w:szCs w:val="24"/>
          <w:lang w:val="es-MX" w:eastAsia="es-MX"/>
        </w:rPr>
        <w:t>27</w:t>
      </w:r>
      <w:r w:rsidRPr="00C97452">
        <w:rPr>
          <w:rFonts w:ascii="Times New Roman" w:hAnsi="Times New Roman" w:cs="Times New Roman"/>
          <w:sz w:val="24"/>
          <w:szCs w:val="24"/>
          <w:lang w:val="es-MX" w:eastAsia="es-MX"/>
        </w:rPr>
        <w:t>).</w:t>
      </w:r>
    </w:p>
    <w:p w:rsidR="00457146" w:rsidRPr="00C97452" w:rsidRDefault="00457146" w:rsidP="00C97452">
      <w:pPr>
        <w:autoSpaceDE w:val="0"/>
        <w:autoSpaceDN w:val="0"/>
        <w:adjustRightInd w:val="0"/>
        <w:spacing w:line="360" w:lineRule="auto"/>
        <w:ind w:left="720" w:right="720"/>
        <w:jc w:val="both"/>
        <w:rPr>
          <w:rFonts w:ascii="Times New Roman" w:hAnsi="Times New Roman" w:cs="Times New Roman"/>
          <w:sz w:val="24"/>
          <w:szCs w:val="24"/>
          <w:lang w:val="es-MX" w:eastAsia="es-MX"/>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El feminicidio, el </w:t>
      </w:r>
      <w:r w:rsidRPr="00C97452">
        <w:rPr>
          <w:rFonts w:ascii="Times New Roman" w:hAnsi="Times New Roman" w:cs="Times New Roman"/>
          <w:sz w:val="24"/>
          <w:szCs w:val="24"/>
          <w:lang w:eastAsia="es-MX"/>
        </w:rPr>
        <w:t>asesinato</w:t>
      </w:r>
      <w:r w:rsidRPr="00C97452">
        <w:rPr>
          <w:rFonts w:ascii="Times New Roman" w:hAnsi="Times New Roman" w:cs="Times New Roman"/>
          <w:sz w:val="24"/>
          <w:szCs w:val="24"/>
        </w:rPr>
        <w:t xml:space="preserve"> de mujeres realizado por hombres como un acto de poder posibilitado por las condiciones históricas, sociales y culturales que han favorecido la desigualdad en las relaciones de género, es un hecho innegable en Ciudad Juárez, como lo es en diversas entidades de México, que demanda acciones preventivas y</w:t>
      </w:r>
      <w:r w:rsidR="00223F51" w:rsidRPr="00C97452">
        <w:rPr>
          <w:rFonts w:ascii="Times New Roman" w:hAnsi="Times New Roman" w:cs="Times New Roman"/>
          <w:sz w:val="24"/>
          <w:szCs w:val="24"/>
        </w:rPr>
        <w:t>,</w:t>
      </w:r>
      <w:r w:rsidRPr="00C97452">
        <w:rPr>
          <w:rFonts w:ascii="Times New Roman" w:hAnsi="Times New Roman" w:cs="Times New Roman"/>
          <w:sz w:val="24"/>
          <w:szCs w:val="24"/>
        </w:rPr>
        <w:t xml:space="preserve"> sobre todo, justicia. No obstante, no debe ignorarse que algunos hombres se matan entre sí construyéndose como tales y que son </w:t>
      </w:r>
      <w:r w:rsidR="00223F51" w:rsidRPr="00C97452">
        <w:rPr>
          <w:rFonts w:ascii="Times New Roman" w:hAnsi="Times New Roman" w:cs="Times New Roman"/>
          <w:sz w:val="24"/>
          <w:szCs w:val="24"/>
        </w:rPr>
        <w:t xml:space="preserve">ellos </w:t>
      </w:r>
      <w:r w:rsidRPr="00C97452">
        <w:rPr>
          <w:rFonts w:ascii="Times New Roman" w:hAnsi="Times New Roman" w:cs="Times New Roman"/>
          <w:sz w:val="24"/>
          <w:szCs w:val="24"/>
        </w:rPr>
        <w:t xml:space="preserve">quienes ejercen violencia en contra de </w:t>
      </w:r>
      <w:r w:rsidR="00223F51" w:rsidRPr="00C97452">
        <w:rPr>
          <w:rFonts w:ascii="Times New Roman" w:hAnsi="Times New Roman" w:cs="Times New Roman"/>
          <w:sz w:val="24"/>
          <w:szCs w:val="24"/>
        </w:rPr>
        <w:t xml:space="preserve">las </w:t>
      </w:r>
      <w:r w:rsidRPr="00C97452">
        <w:rPr>
          <w:rFonts w:ascii="Times New Roman" w:hAnsi="Times New Roman" w:cs="Times New Roman"/>
          <w:sz w:val="24"/>
          <w:szCs w:val="24"/>
        </w:rPr>
        <w:t>mujeres y de otros hombres. Por ejemplo, Ravelo y Sánchez apuntan:</w:t>
      </w:r>
    </w:p>
    <w:p w:rsidR="00457146" w:rsidRPr="00C97452" w:rsidRDefault="00457146" w:rsidP="00C97452">
      <w:pPr>
        <w:spacing w:after="0" w:line="360" w:lineRule="auto"/>
        <w:jc w:val="both"/>
        <w:rPr>
          <w:rFonts w:ascii="Times New Roman" w:hAnsi="Times New Roman" w:cs="Times New Roman"/>
          <w:sz w:val="24"/>
          <w:szCs w:val="24"/>
        </w:rPr>
      </w:pPr>
    </w:p>
    <w:p w:rsidR="003749A5" w:rsidRPr="00C97452" w:rsidRDefault="003749A5" w:rsidP="00C97452">
      <w:pPr>
        <w:spacing w:line="360" w:lineRule="auto"/>
        <w:ind w:left="720" w:right="720"/>
        <w:jc w:val="both"/>
        <w:rPr>
          <w:rFonts w:ascii="Times New Roman" w:hAnsi="Times New Roman" w:cs="Times New Roman"/>
          <w:sz w:val="24"/>
          <w:szCs w:val="24"/>
        </w:rPr>
      </w:pPr>
      <w:r w:rsidRPr="00C97452">
        <w:rPr>
          <w:rFonts w:ascii="Times New Roman" w:hAnsi="Times New Roman" w:cs="Times New Roman"/>
          <w:sz w:val="24"/>
          <w:szCs w:val="24"/>
        </w:rPr>
        <w:t>Este fenómeno de la misoginia (que no es exclusivo de este lugar) hace de Ciudad Juárez un lugar de riesgo y peligro permanentes. A esos asesinatos hay que agregar los de hombres, los cuales pueden darse en una proporción de tres a uno con respecto a los de las mujeres, aunque sobre estos asesinatos hay poca investigación pese a las cifras que se manejan de muertes violentas donde el grado de violencia homicida en esta región es alto (2007</w:t>
      </w:r>
      <w:r w:rsidR="009F0BA7" w:rsidRPr="00C97452">
        <w:rPr>
          <w:rFonts w:ascii="Times New Roman" w:hAnsi="Times New Roman" w:cs="Times New Roman"/>
          <w:sz w:val="24"/>
          <w:szCs w:val="24"/>
        </w:rPr>
        <w:t xml:space="preserve">, p. </w:t>
      </w:r>
      <w:r w:rsidRPr="00C97452">
        <w:rPr>
          <w:rFonts w:ascii="Times New Roman" w:hAnsi="Times New Roman" w:cs="Times New Roman"/>
          <w:sz w:val="24"/>
          <w:szCs w:val="24"/>
        </w:rPr>
        <w:t>221).</w:t>
      </w:r>
    </w:p>
    <w:p w:rsidR="00457146" w:rsidRPr="00C97452" w:rsidRDefault="00457146" w:rsidP="00C97452">
      <w:pPr>
        <w:spacing w:line="360" w:lineRule="auto"/>
        <w:ind w:left="720" w:right="720"/>
        <w:jc w:val="both"/>
        <w:rPr>
          <w:rFonts w:ascii="Times New Roman" w:hAnsi="Times New Roman" w:cs="Times New Roman"/>
          <w:bCs/>
          <w:sz w:val="24"/>
          <w:szCs w:val="24"/>
          <w:lang w:eastAsia="es-MX"/>
        </w:rPr>
      </w:pPr>
    </w:p>
    <w:p w:rsidR="003749A5" w:rsidRPr="00C97452" w:rsidRDefault="003749A5" w:rsidP="00C97452">
      <w:pPr>
        <w:spacing w:after="0" w:line="360" w:lineRule="auto"/>
        <w:jc w:val="both"/>
        <w:rPr>
          <w:rFonts w:ascii="Times New Roman" w:hAnsi="Times New Roman" w:cs="Times New Roman"/>
          <w:sz w:val="24"/>
          <w:szCs w:val="24"/>
          <w:lang w:val="es-MX"/>
        </w:rPr>
      </w:pPr>
      <w:r w:rsidRPr="00C97452">
        <w:rPr>
          <w:rFonts w:ascii="Times New Roman" w:hAnsi="Times New Roman" w:cs="Times New Roman"/>
          <w:sz w:val="24"/>
          <w:szCs w:val="24"/>
          <w:lang w:val="es-MX"/>
        </w:rPr>
        <w:t xml:space="preserve">Sin duda, estas observaciones son desbordadas por los hechos recientes, como lo son las primeras elaboraciones que desde el gobierno municipal se realizaron a fin de entender el </w:t>
      </w:r>
      <w:r w:rsidRPr="00C97452">
        <w:rPr>
          <w:rFonts w:ascii="Times New Roman" w:hAnsi="Times New Roman" w:cs="Times New Roman"/>
          <w:sz w:val="24"/>
          <w:szCs w:val="24"/>
        </w:rPr>
        <w:t>fenómeno</w:t>
      </w:r>
      <w:r w:rsidRPr="00C97452">
        <w:rPr>
          <w:rFonts w:ascii="Times New Roman" w:hAnsi="Times New Roman" w:cs="Times New Roman"/>
          <w:sz w:val="24"/>
          <w:szCs w:val="24"/>
          <w:lang w:val="es-MX"/>
        </w:rPr>
        <w:t xml:space="preserve"> </w:t>
      </w:r>
      <w:r w:rsidRPr="00C97452">
        <w:rPr>
          <w:rFonts w:ascii="Times New Roman" w:hAnsi="Times New Roman" w:cs="Times New Roman"/>
          <w:sz w:val="24"/>
          <w:szCs w:val="24"/>
        </w:rPr>
        <w:t>de</w:t>
      </w:r>
      <w:r w:rsidRPr="00C97452">
        <w:rPr>
          <w:rFonts w:ascii="Times New Roman" w:hAnsi="Times New Roman" w:cs="Times New Roman"/>
          <w:sz w:val="24"/>
          <w:szCs w:val="24"/>
          <w:lang w:val="es-MX"/>
        </w:rPr>
        <w:t xml:space="preserve"> las pandillas. Al efecto, el efímero Instituto Municipal de Seguridad Pública, señala en su </w:t>
      </w:r>
      <w:r w:rsidRPr="00C97452">
        <w:rPr>
          <w:rFonts w:ascii="Times New Roman" w:hAnsi="Times New Roman" w:cs="Times New Roman"/>
          <w:i/>
          <w:sz w:val="24"/>
          <w:szCs w:val="24"/>
          <w:lang w:val="es-MX"/>
        </w:rPr>
        <w:t>Estudio sobre pandillas</w:t>
      </w:r>
      <w:r w:rsidRPr="00C97452">
        <w:rPr>
          <w:rFonts w:ascii="Times New Roman" w:hAnsi="Times New Roman" w:cs="Times New Roman"/>
          <w:sz w:val="24"/>
          <w:szCs w:val="24"/>
          <w:lang w:val="es-MX"/>
        </w:rPr>
        <w:t>:</w:t>
      </w:r>
    </w:p>
    <w:p w:rsidR="00457146" w:rsidRPr="00C97452" w:rsidRDefault="00457146" w:rsidP="00C97452">
      <w:pPr>
        <w:spacing w:line="360" w:lineRule="auto"/>
        <w:ind w:left="720" w:right="720"/>
        <w:jc w:val="both"/>
        <w:rPr>
          <w:rFonts w:ascii="Times New Roman" w:hAnsi="Times New Roman" w:cs="Times New Roman"/>
          <w:sz w:val="24"/>
          <w:szCs w:val="24"/>
          <w:lang w:val="es-MX"/>
        </w:rPr>
      </w:pPr>
    </w:p>
    <w:p w:rsidR="003749A5" w:rsidRPr="00C97452" w:rsidRDefault="003749A5" w:rsidP="00C97452">
      <w:pPr>
        <w:spacing w:line="360" w:lineRule="auto"/>
        <w:ind w:left="720" w:right="720"/>
        <w:jc w:val="both"/>
        <w:rPr>
          <w:rFonts w:ascii="Times New Roman" w:hAnsi="Times New Roman" w:cs="Times New Roman"/>
          <w:sz w:val="24"/>
          <w:szCs w:val="24"/>
          <w:lang w:val="es-MX"/>
        </w:rPr>
      </w:pPr>
      <w:r w:rsidRPr="00C97452">
        <w:rPr>
          <w:rFonts w:ascii="Times New Roman" w:hAnsi="Times New Roman" w:cs="Times New Roman"/>
          <w:sz w:val="24"/>
          <w:szCs w:val="24"/>
          <w:lang w:val="es-MX"/>
        </w:rPr>
        <w:t>Las edades de los jóvenes que participan en este tipo de organizaciones oscilan entre los 10 u 11 años, y pueden llegar a permanecer en ellas hasta los 25 años. Son por lo general jóvenes que dejan la escuela y cuyos grados de escolaridad no superan el nivel Secundaria, en pocos casos son jóvenes que han iniciado la educación media superior, pero que igualmente no la concluyen. La principal razón por la que dejan de asistir a las instituciones educativas es la suspensión permanente que dichas instituciones les otorgan como sanción por su mal comportamiento. Después de eso</w:t>
      </w:r>
      <w:r w:rsidR="00BA6738" w:rsidRPr="00C97452">
        <w:rPr>
          <w:rFonts w:ascii="Times New Roman" w:hAnsi="Times New Roman" w:cs="Times New Roman"/>
          <w:sz w:val="24"/>
          <w:szCs w:val="24"/>
          <w:lang w:val="es-MX"/>
        </w:rPr>
        <w:t>,</w:t>
      </w:r>
      <w:r w:rsidRPr="00C97452">
        <w:rPr>
          <w:rFonts w:ascii="Times New Roman" w:hAnsi="Times New Roman" w:cs="Times New Roman"/>
          <w:sz w:val="24"/>
          <w:szCs w:val="24"/>
          <w:lang w:val="es-MX"/>
        </w:rPr>
        <w:t xml:space="preserve"> sus oportunidades de ingresar nuevamente a una formación académica son prácticamente nulas (2004</w:t>
      </w:r>
      <w:r w:rsidR="007B4C22" w:rsidRPr="00C97452">
        <w:rPr>
          <w:rFonts w:ascii="Times New Roman" w:hAnsi="Times New Roman" w:cs="Times New Roman"/>
          <w:sz w:val="24"/>
          <w:szCs w:val="24"/>
          <w:lang w:val="es-MX"/>
        </w:rPr>
        <w:t xml:space="preserve">, pp. </w:t>
      </w:r>
      <w:r w:rsidRPr="00C97452">
        <w:rPr>
          <w:rFonts w:ascii="Times New Roman" w:hAnsi="Times New Roman" w:cs="Times New Roman"/>
          <w:sz w:val="24"/>
          <w:szCs w:val="24"/>
          <w:lang w:val="es-MX"/>
        </w:rPr>
        <w:t>7-8).</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La problemática actual que se vive en Ciudad Juárez obliga a considerar una multiplicidad de factores para atender y explicar las condiciones de violencia estructural que enfrentan los jóvenes por la falta de oportunidades escolares, laborales y la carencia de espacios de recreación como se analiza en el estudio </w:t>
      </w:r>
      <w:r w:rsidRPr="00C97452">
        <w:rPr>
          <w:rFonts w:ascii="Times New Roman" w:hAnsi="Times New Roman" w:cs="Times New Roman"/>
          <w:i/>
          <w:sz w:val="24"/>
          <w:szCs w:val="24"/>
        </w:rPr>
        <w:t>Ejercicio de la masculinidad en jóvenes juarenses y sus condiciones de riesgo en un contexto de violencia estructural</w:t>
      </w:r>
      <w:r w:rsidRPr="00C97452">
        <w:rPr>
          <w:rFonts w:ascii="Times New Roman" w:hAnsi="Times New Roman" w:cs="Times New Roman"/>
          <w:sz w:val="24"/>
          <w:szCs w:val="24"/>
        </w:rPr>
        <w:t xml:space="preserve"> (2010)</w:t>
      </w:r>
      <w:r w:rsidR="00BA6738" w:rsidRPr="00C97452">
        <w:rPr>
          <w:rFonts w:ascii="Times New Roman" w:hAnsi="Times New Roman" w:cs="Times New Roman"/>
          <w:sz w:val="24"/>
          <w:szCs w:val="24"/>
        </w:rPr>
        <w:t>,</w:t>
      </w:r>
      <w:r w:rsidRPr="00C97452">
        <w:rPr>
          <w:rFonts w:ascii="Times New Roman" w:hAnsi="Times New Roman" w:cs="Times New Roman"/>
          <w:sz w:val="24"/>
          <w:szCs w:val="24"/>
        </w:rPr>
        <w:t xml:space="preserve"> llevado a cabo en cuatro áreas de bajos recursos de esta ciudad. Abordemos ahora lo que expresan los y las jóvenes.</w:t>
      </w:r>
    </w:p>
    <w:p w:rsidR="00BA6738" w:rsidRPr="00C97452" w:rsidRDefault="00BA6738" w:rsidP="00C97452">
      <w:pPr>
        <w:spacing w:after="0" w:line="360" w:lineRule="auto"/>
        <w:jc w:val="both"/>
        <w:rPr>
          <w:rFonts w:ascii="Times New Roman" w:hAnsi="Times New Roman" w:cs="Times New Roman"/>
          <w:sz w:val="24"/>
          <w:szCs w:val="24"/>
        </w:rPr>
      </w:pPr>
    </w:p>
    <w:p w:rsidR="003749A5" w:rsidRPr="00C97452" w:rsidRDefault="00703217" w:rsidP="00C97452">
      <w:pPr>
        <w:spacing w:line="360" w:lineRule="auto"/>
        <w:jc w:val="both"/>
        <w:rPr>
          <w:rFonts w:ascii="Times New Roman" w:hAnsi="Times New Roman" w:cs="Times New Roman"/>
          <w:b/>
          <w:sz w:val="24"/>
          <w:szCs w:val="24"/>
        </w:rPr>
      </w:pPr>
      <w:r w:rsidRPr="00C97452">
        <w:rPr>
          <w:rFonts w:ascii="Times New Roman" w:hAnsi="Times New Roman" w:cs="Times New Roman"/>
          <w:b/>
          <w:sz w:val="24"/>
          <w:szCs w:val="24"/>
        </w:rPr>
        <w:t xml:space="preserve">2. </w:t>
      </w:r>
      <w:r w:rsidR="003749A5" w:rsidRPr="00C97452">
        <w:rPr>
          <w:rFonts w:ascii="Times New Roman" w:hAnsi="Times New Roman" w:cs="Times New Roman"/>
          <w:b/>
          <w:sz w:val="24"/>
          <w:szCs w:val="24"/>
        </w:rPr>
        <w:t>Los y las jóvenes en Ciudad Juárez</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De acuerdo al Censo de Población y Vivienda 2010 (INEGI), en el Municipio de Juárez se concentra 39.1</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(1</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332</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131) de los 3</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406</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xml:space="preserve">465 habitantes del estado. De 1995 a 2010, el porcentaje de jóvenes ha disminuido quinquenio tras quinquenio, pasando de </w:t>
      </w:r>
      <w:r w:rsidRPr="00C97452">
        <w:rPr>
          <w:rFonts w:ascii="Times New Roman" w:hAnsi="Times New Roman" w:cs="Times New Roman"/>
          <w:i/>
          <w:sz w:val="24"/>
          <w:szCs w:val="24"/>
        </w:rPr>
        <w:t>constituir</w:t>
      </w:r>
      <w:r w:rsidRPr="00C97452">
        <w:rPr>
          <w:rFonts w:ascii="Times New Roman" w:hAnsi="Times New Roman" w:cs="Times New Roman"/>
          <w:sz w:val="24"/>
          <w:szCs w:val="24"/>
        </w:rPr>
        <w:t xml:space="preserve"> 33.1</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de la población en 1995 al 26</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xml:space="preserve">% para 2010. La caída más notable se produjo en el </w:t>
      </w:r>
      <w:r w:rsidRPr="00C97452">
        <w:rPr>
          <w:rFonts w:ascii="Times New Roman" w:hAnsi="Times New Roman" w:cs="Times New Roman"/>
          <w:sz w:val="24"/>
          <w:szCs w:val="24"/>
        </w:rPr>
        <w:lastRenderedPageBreak/>
        <w:t>año 2005, cuando disminuyó 4.26 puntos porcentuales con respecto al quinquenio previo. No obstante, el número de jóvenes se incrementó de 333</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537 en 1995 a 355</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108 en el año 2000 para descender a 337</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421 en 2005 y a 329</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327 en 2010. Es decir, en este último año la población de 15 a 29 años representó s</w:t>
      </w:r>
      <w:r w:rsidR="007B4C22" w:rsidRPr="00C97452">
        <w:rPr>
          <w:rFonts w:ascii="Times New Roman" w:hAnsi="Times New Roman" w:cs="Times New Roman"/>
          <w:sz w:val="24"/>
          <w:szCs w:val="24"/>
        </w:rPr>
        <w:t>o</w:t>
      </w:r>
      <w:r w:rsidRPr="00C97452">
        <w:rPr>
          <w:rFonts w:ascii="Times New Roman" w:hAnsi="Times New Roman" w:cs="Times New Roman"/>
          <w:sz w:val="24"/>
          <w:szCs w:val="24"/>
        </w:rPr>
        <w:t>lo 98.7</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de la que se registraba en 1995, siendo mayor la cantidad de hombres en todos los periodos. En Ciudad Juárez, su cabecera municipal, en 2010 residían 1</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321</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004 personas, que representaban 99</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del total de habitantes en el municipio. La población joven entre 15 y 29 años se incrementó en 6.9</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de 1995 a 2000, pa</w:t>
      </w:r>
      <w:r w:rsidR="009C2AAC" w:rsidRPr="00C97452">
        <w:rPr>
          <w:rFonts w:ascii="Times New Roman" w:hAnsi="Times New Roman" w:cs="Times New Roman"/>
          <w:sz w:val="24"/>
          <w:szCs w:val="24"/>
        </w:rPr>
        <w:t>ra descender en 2005 en 4.5</w:t>
      </w:r>
      <w:r w:rsidR="007B4C22" w:rsidRPr="00C97452">
        <w:rPr>
          <w:rFonts w:ascii="Times New Roman" w:hAnsi="Times New Roman" w:cs="Times New Roman"/>
          <w:sz w:val="24"/>
          <w:szCs w:val="24"/>
        </w:rPr>
        <w:t xml:space="preserve"> </w:t>
      </w:r>
      <w:r w:rsidR="009C2AAC" w:rsidRPr="00C97452">
        <w:rPr>
          <w:rFonts w:ascii="Times New Roman" w:hAnsi="Times New Roman" w:cs="Times New Roman"/>
          <w:sz w:val="24"/>
          <w:szCs w:val="24"/>
        </w:rPr>
        <w:t>%</w:t>
      </w:r>
      <w:r w:rsidRPr="00C97452">
        <w:rPr>
          <w:rFonts w:ascii="Times New Roman" w:hAnsi="Times New Roman" w:cs="Times New Roman"/>
          <w:sz w:val="24"/>
          <w:szCs w:val="24"/>
        </w:rPr>
        <w:t>. Estos datos son relevantes, tomando en consideración la pérdida de vidas de hombres y mujeres jóvenes en el tiempo espacio de las violencias.</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En materia de incidentes viales, como indica el Observatorio de Seguridad y Convivencia Ciudadanas del Municipio de Juárez, “tal y como se presenta en otros </w:t>
      </w:r>
      <w:r w:rsidRPr="00C97452">
        <w:rPr>
          <w:rFonts w:ascii="Times New Roman" w:hAnsi="Times New Roman" w:cs="Times New Roman"/>
          <w:i/>
          <w:sz w:val="24"/>
          <w:szCs w:val="24"/>
        </w:rPr>
        <w:t>países</w:t>
      </w:r>
      <w:r w:rsidRPr="00C97452">
        <w:rPr>
          <w:rFonts w:ascii="Times New Roman" w:hAnsi="Times New Roman" w:cs="Times New Roman"/>
          <w:sz w:val="24"/>
          <w:szCs w:val="24"/>
        </w:rPr>
        <w:t>, son los hombres entre los 15 y los 44 años quienes son responsables de la mayor parte de incidentes” (2013</w:t>
      </w:r>
      <w:r w:rsidR="007B4C22" w:rsidRPr="00C97452">
        <w:rPr>
          <w:rFonts w:ascii="Times New Roman" w:hAnsi="Times New Roman" w:cs="Times New Roman"/>
          <w:sz w:val="24"/>
          <w:szCs w:val="24"/>
        </w:rPr>
        <w:t xml:space="preserve">, p. </w:t>
      </w:r>
      <w:r w:rsidRPr="00C97452">
        <w:rPr>
          <w:rFonts w:ascii="Times New Roman" w:hAnsi="Times New Roman" w:cs="Times New Roman"/>
          <w:sz w:val="24"/>
          <w:szCs w:val="24"/>
        </w:rPr>
        <w:t xml:space="preserve">6), siendo </w:t>
      </w:r>
      <w:r w:rsidR="007B4C22" w:rsidRPr="00C97452">
        <w:rPr>
          <w:rFonts w:ascii="Times New Roman" w:hAnsi="Times New Roman" w:cs="Times New Roman"/>
          <w:sz w:val="24"/>
          <w:szCs w:val="24"/>
        </w:rPr>
        <w:t>e</w:t>
      </w:r>
      <w:r w:rsidRPr="00C97452">
        <w:rPr>
          <w:rFonts w:ascii="Times New Roman" w:hAnsi="Times New Roman" w:cs="Times New Roman"/>
          <w:sz w:val="24"/>
          <w:szCs w:val="24"/>
        </w:rPr>
        <w:t xml:space="preserve">stos “una de las 10 primeras causas de mortalidad general y la primera causa de mortalidad para niños de 1 a 14 años en el municipio de Juárez” (10). Con relación a los suicidios, </w:t>
      </w:r>
      <w:r w:rsidR="007B4C22" w:rsidRPr="00C97452">
        <w:rPr>
          <w:rFonts w:ascii="Times New Roman" w:hAnsi="Times New Roman" w:cs="Times New Roman"/>
          <w:sz w:val="24"/>
          <w:szCs w:val="24"/>
        </w:rPr>
        <w:t>e</w:t>
      </w:r>
      <w:r w:rsidRPr="00C97452">
        <w:rPr>
          <w:rFonts w:ascii="Times New Roman" w:hAnsi="Times New Roman" w:cs="Times New Roman"/>
          <w:sz w:val="24"/>
          <w:szCs w:val="24"/>
        </w:rPr>
        <w:t>stos se presentan en el periodo 2009-2012, para este municipio, a partir de los 10 años de edad, contabilizando 113 casos (91 hombres y 22 mujeres), representando 39.8</w:t>
      </w:r>
      <w:r w:rsidR="008513F0" w:rsidRPr="00C97452">
        <w:rPr>
          <w:rFonts w:ascii="Times New Roman" w:hAnsi="Times New Roman" w:cs="Times New Roman"/>
          <w:sz w:val="24"/>
          <w:szCs w:val="24"/>
        </w:rPr>
        <w:t xml:space="preserve"> %</w:t>
      </w:r>
      <w:r w:rsidRPr="00C97452">
        <w:rPr>
          <w:rFonts w:ascii="Times New Roman" w:hAnsi="Times New Roman" w:cs="Times New Roman"/>
          <w:sz w:val="24"/>
          <w:szCs w:val="24"/>
        </w:rPr>
        <w:t xml:space="preserve"> del total en el periodo, con una razón de 5 hombres en promedio, por cada mujer (</w:t>
      </w:r>
      <w:r w:rsidR="007B4C22" w:rsidRPr="00C97452">
        <w:rPr>
          <w:rFonts w:ascii="Times New Roman" w:hAnsi="Times New Roman" w:cs="Times New Roman"/>
          <w:sz w:val="24"/>
          <w:szCs w:val="24"/>
        </w:rPr>
        <w:t>t</w:t>
      </w:r>
      <w:r w:rsidRPr="00C97452">
        <w:rPr>
          <w:rFonts w:ascii="Times New Roman" w:hAnsi="Times New Roman" w:cs="Times New Roman"/>
          <w:sz w:val="24"/>
          <w:szCs w:val="24"/>
        </w:rPr>
        <w:t xml:space="preserve">abla 5) de acuerdo al Observatorio con datos de la Jurisdicción Sanitaria II. </w:t>
      </w:r>
    </w:p>
    <w:p w:rsidR="008513F0" w:rsidRPr="00C97452" w:rsidRDefault="008513F0"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Como ya se indicó, Ciudad Juárez ha sido identificada como el lugar donde se presentan los feminicidios. No es objetivo de este trabajo ahondar en esta condición, </w:t>
      </w:r>
      <w:r w:rsidR="007B4C22" w:rsidRPr="00C97452">
        <w:rPr>
          <w:rFonts w:ascii="Times New Roman" w:hAnsi="Times New Roman" w:cs="Times New Roman"/>
          <w:sz w:val="24"/>
          <w:szCs w:val="24"/>
        </w:rPr>
        <w:t>pero</w:t>
      </w:r>
      <w:r w:rsidRPr="00C97452">
        <w:rPr>
          <w:rFonts w:ascii="Times New Roman" w:hAnsi="Times New Roman" w:cs="Times New Roman"/>
          <w:sz w:val="24"/>
          <w:szCs w:val="24"/>
        </w:rPr>
        <w:t xml:space="preserve"> es pertinente aproximar una mirada a la violencia que se ejerce en contra de las mujeres en este contexto y del cual se destaca el antecedente de la creación, el 18 de febrero de 2004, de la Comisión para Prevenir y Erradicar la Violencia contra las Mujeres en Ciudad Juárez, teniendo entre sus objetivos: </w:t>
      </w:r>
    </w:p>
    <w:p w:rsidR="00457146" w:rsidRDefault="00457146" w:rsidP="00C97452">
      <w:pPr>
        <w:spacing w:after="0" w:line="360" w:lineRule="auto"/>
        <w:jc w:val="both"/>
        <w:rPr>
          <w:rFonts w:ascii="Times New Roman" w:hAnsi="Times New Roman" w:cs="Times New Roman"/>
          <w:sz w:val="24"/>
          <w:szCs w:val="24"/>
        </w:rPr>
      </w:pPr>
    </w:p>
    <w:p w:rsidR="00D05A8D" w:rsidRDefault="00D05A8D" w:rsidP="00C97452">
      <w:pPr>
        <w:spacing w:after="0" w:line="360" w:lineRule="auto"/>
        <w:jc w:val="both"/>
        <w:rPr>
          <w:rFonts w:ascii="Times New Roman" w:hAnsi="Times New Roman" w:cs="Times New Roman"/>
          <w:sz w:val="24"/>
          <w:szCs w:val="24"/>
        </w:rPr>
      </w:pPr>
    </w:p>
    <w:p w:rsidR="00D05A8D" w:rsidRDefault="00D05A8D" w:rsidP="00C97452">
      <w:pPr>
        <w:spacing w:after="0" w:line="360" w:lineRule="auto"/>
        <w:jc w:val="both"/>
        <w:rPr>
          <w:rFonts w:ascii="Times New Roman" w:hAnsi="Times New Roman" w:cs="Times New Roman"/>
          <w:sz w:val="24"/>
          <w:szCs w:val="24"/>
        </w:rPr>
      </w:pPr>
    </w:p>
    <w:p w:rsidR="00D05A8D" w:rsidRPr="00C97452" w:rsidRDefault="00D05A8D" w:rsidP="00C97452">
      <w:pPr>
        <w:spacing w:after="0" w:line="360" w:lineRule="auto"/>
        <w:jc w:val="both"/>
        <w:rPr>
          <w:rFonts w:ascii="Times New Roman" w:hAnsi="Times New Roman" w:cs="Times New Roman"/>
          <w:sz w:val="24"/>
          <w:szCs w:val="24"/>
        </w:rPr>
      </w:pPr>
    </w:p>
    <w:p w:rsidR="003749A5" w:rsidRPr="00C97452" w:rsidRDefault="003749A5" w:rsidP="00C97452">
      <w:pPr>
        <w:spacing w:after="240" w:line="360" w:lineRule="auto"/>
        <w:ind w:left="567" w:right="567"/>
        <w:jc w:val="both"/>
        <w:rPr>
          <w:rFonts w:ascii="Times New Roman" w:hAnsi="Times New Roman" w:cs="Times New Roman"/>
          <w:sz w:val="24"/>
          <w:szCs w:val="24"/>
        </w:rPr>
      </w:pPr>
      <w:r w:rsidRPr="00C97452">
        <w:rPr>
          <w:rFonts w:ascii="Times New Roman" w:hAnsi="Times New Roman" w:cs="Times New Roman"/>
          <w:sz w:val="24"/>
          <w:szCs w:val="24"/>
        </w:rPr>
        <w:lastRenderedPageBreak/>
        <w:t xml:space="preserve">Promover ante las instancias correspondientes, en lo que respecta a la materia del presente Decreto, el acceso efectivo de las víctimas a una justicia integral, que comprenda, entre otras, investigación y sanción a los responsables, reparación del daño y adopción de medidas para evitar la repetición de los hechos y garantía al derecho a la verdad (DOF, 2004: Artículo Segundo, Fracción II).  </w:t>
      </w:r>
    </w:p>
    <w:p w:rsidR="008513F0"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Esta comisión es sustituida, a partir del 1 de junio de 2009, por la Comisión Nacional para Prevenir y Erradicar la Violencia contra las Mujeres (CONAVIM)</w:t>
      </w:r>
      <w:r w:rsidR="007B4C22" w:rsidRPr="00C97452">
        <w:rPr>
          <w:rFonts w:ascii="Times New Roman" w:hAnsi="Times New Roman" w:cs="Times New Roman"/>
          <w:sz w:val="24"/>
          <w:szCs w:val="24"/>
        </w:rPr>
        <w:t>,</w:t>
      </w:r>
      <w:r w:rsidRPr="00C97452">
        <w:rPr>
          <w:rFonts w:ascii="Times New Roman" w:hAnsi="Times New Roman" w:cs="Times New Roman"/>
          <w:sz w:val="24"/>
          <w:szCs w:val="24"/>
        </w:rPr>
        <w:t xml:space="preserve"> que tiene la responsabilidad de coordinar las acciones encaminadas a la prevención y disminución de la violencia en el país, cumplir con los compromisos internacionales signados por México y dar cumplimiento a lo dispuesto en la Ley General de Acceso de las Mujeres a una Vida Libre de Violencia, como se indica en </w:t>
      </w:r>
      <w:r w:rsidR="009C2AAC" w:rsidRPr="00C97452">
        <w:rPr>
          <w:rFonts w:ascii="Times New Roman" w:hAnsi="Times New Roman" w:cs="Times New Roman"/>
          <w:sz w:val="24"/>
          <w:szCs w:val="24"/>
        </w:rPr>
        <w:t>su</w:t>
      </w:r>
      <w:r w:rsidRPr="00C97452">
        <w:rPr>
          <w:rFonts w:ascii="Times New Roman" w:hAnsi="Times New Roman" w:cs="Times New Roman"/>
          <w:sz w:val="24"/>
          <w:szCs w:val="24"/>
        </w:rPr>
        <w:t xml:space="preserve"> página web (</w:t>
      </w:r>
      <w:hyperlink r:id="rId7" w:history="1">
        <w:r w:rsidRPr="00C97452">
          <w:rPr>
            <w:rStyle w:val="Hipervnculo"/>
            <w:rFonts w:ascii="Times New Roman" w:hAnsi="Times New Roman" w:cs="Times New Roman"/>
            <w:sz w:val="24"/>
            <w:szCs w:val="24"/>
          </w:rPr>
          <w:t>http://www.conavim.gob.mx/es/CONAVIM/Quienes_Somos</w:t>
        </w:r>
      </w:hyperlink>
      <w:r w:rsidRPr="00C97452">
        <w:rPr>
          <w:rFonts w:ascii="Times New Roman" w:hAnsi="Times New Roman" w:cs="Times New Roman"/>
          <w:sz w:val="24"/>
          <w:szCs w:val="24"/>
        </w:rPr>
        <w:t>).</w:t>
      </w:r>
      <w:r w:rsidR="00703217" w:rsidRPr="00C97452">
        <w:rPr>
          <w:rFonts w:ascii="Times New Roman" w:hAnsi="Times New Roman" w:cs="Times New Roman"/>
          <w:sz w:val="24"/>
          <w:szCs w:val="24"/>
        </w:rPr>
        <w:t xml:space="preserve"> </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Diversas </w:t>
      </w:r>
      <w:r w:rsidR="00703217" w:rsidRPr="00C97452">
        <w:rPr>
          <w:rFonts w:ascii="Times New Roman" w:hAnsi="Times New Roman" w:cs="Times New Roman"/>
          <w:sz w:val="24"/>
          <w:szCs w:val="24"/>
        </w:rPr>
        <w:t>org</w:t>
      </w:r>
      <w:r w:rsidRPr="00C97452">
        <w:rPr>
          <w:rFonts w:ascii="Times New Roman" w:hAnsi="Times New Roman" w:cs="Times New Roman"/>
          <w:sz w:val="24"/>
          <w:szCs w:val="24"/>
        </w:rPr>
        <w:t xml:space="preserve">anizaciones se han ocupado de prevenir, atender y dar seguimiento a esta problemática. Recientemente, el 26 de marzo de 2012, </w:t>
      </w:r>
      <w:r w:rsidR="007B4C22" w:rsidRPr="00C97452">
        <w:rPr>
          <w:rFonts w:ascii="Times New Roman" w:hAnsi="Times New Roman" w:cs="Times New Roman"/>
          <w:sz w:val="24"/>
          <w:szCs w:val="24"/>
        </w:rPr>
        <w:t xml:space="preserve">el Centro de Justicia para Mujeres en Ciudad Juárez (CJMJZ) </w:t>
      </w:r>
      <w:r w:rsidRPr="00C97452">
        <w:rPr>
          <w:rFonts w:ascii="Times New Roman" w:hAnsi="Times New Roman" w:cs="Times New Roman"/>
          <w:sz w:val="24"/>
          <w:szCs w:val="24"/>
        </w:rPr>
        <w:t>entró en funciones,</w:t>
      </w:r>
      <w:r w:rsidR="007B4C22" w:rsidRPr="00C97452">
        <w:rPr>
          <w:rFonts w:ascii="Times New Roman" w:hAnsi="Times New Roman" w:cs="Times New Roman"/>
          <w:sz w:val="24"/>
          <w:szCs w:val="24"/>
        </w:rPr>
        <w:t xml:space="preserve"> y al igual</w:t>
      </w:r>
      <w:r w:rsidRPr="00C97452">
        <w:rPr>
          <w:rFonts w:ascii="Times New Roman" w:hAnsi="Times New Roman" w:cs="Times New Roman"/>
          <w:sz w:val="24"/>
          <w:szCs w:val="24"/>
        </w:rPr>
        <w:t xml:space="preserve"> que los otros centros existentes en México, “se cre</w:t>
      </w:r>
      <w:r w:rsidR="007B4C22" w:rsidRPr="00C97452">
        <w:rPr>
          <w:rFonts w:ascii="Times New Roman" w:hAnsi="Times New Roman" w:cs="Times New Roman"/>
          <w:sz w:val="24"/>
          <w:szCs w:val="24"/>
        </w:rPr>
        <w:t>ó en</w:t>
      </w:r>
      <w:r w:rsidRPr="00C97452">
        <w:rPr>
          <w:rFonts w:ascii="Times New Roman" w:hAnsi="Times New Roman" w:cs="Times New Roman"/>
          <w:sz w:val="24"/>
          <w:szCs w:val="24"/>
        </w:rPr>
        <w:t xml:space="preserve"> respuesta a la falta de acceso a la justicia que enfrentan las mujeres en nuestro país con el fin de atender de manera integral a las víctimas de violencia”. En este sentido, los datos del CJMJZ que presenta el Observatorio indican que “en el rango de edad de los 16 a 45 años, 60 mujeres de cada 10</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xml:space="preserve">000 residentes en Juárez sufren algún tipo de violencia de género, destacando </w:t>
      </w:r>
      <w:r w:rsidR="008513F0" w:rsidRPr="00C97452">
        <w:rPr>
          <w:rFonts w:ascii="Times New Roman" w:hAnsi="Times New Roman" w:cs="Times New Roman"/>
          <w:sz w:val="24"/>
          <w:szCs w:val="24"/>
        </w:rPr>
        <w:t>como</w:t>
      </w:r>
      <w:r w:rsidRPr="00C97452">
        <w:rPr>
          <w:rFonts w:ascii="Times New Roman" w:hAnsi="Times New Roman" w:cs="Times New Roman"/>
          <w:sz w:val="24"/>
          <w:szCs w:val="24"/>
        </w:rPr>
        <w:t xml:space="preserve"> grupo de edad más vulnera</w:t>
      </w:r>
      <w:r w:rsidR="008513F0" w:rsidRPr="00C97452">
        <w:rPr>
          <w:rFonts w:ascii="Times New Roman" w:hAnsi="Times New Roman" w:cs="Times New Roman"/>
          <w:sz w:val="24"/>
          <w:szCs w:val="24"/>
        </w:rPr>
        <w:t>ble</w:t>
      </w:r>
      <w:r w:rsidRPr="00C97452">
        <w:rPr>
          <w:rFonts w:ascii="Times New Roman" w:hAnsi="Times New Roman" w:cs="Times New Roman"/>
          <w:sz w:val="24"/>
          <w:szCs w:val="24"/>
        </w:rPr>
        <w:t xml:space="preserve"> el de 26 a 35 años, con una tasa de 70 mujeres por cada 10</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000” (2013</w:t>
      </w:r>
      <w:r w:rsidR="007B4C22" w:rsidRPr="00C97452">
        <w:rPr>
          <w:rFonts w:ascii="Times New Roman" w:hAnsi="Times New Roman" w:cs="Times New Roman"/>
          <w:sz w:val="24"/>
          <w:szCs w:val="24"/>
        </w:rPr>
        <w:t xml:space="preserve">, p. </w:t>
      </w:r>
      <w:r w:rsidRPr="00C97452">
        <w:rPr>
          <w:rFonts w:ascii="Times New Roman" w:hAnsi="Times New Roman" w:cs="Times New Roman"/>
          <w:sz w:val="24"/>
          <w:szCs w:val="24"/>
        </w:rPr>
        <w:t>43). Le sigue el rango de edad de 16 a 25 años, con una tasa de 55 mujeres por cada 10</w:t>
      </w:r>
      <w:r w:rsidR="00457146" w:rsidRPr="00C97452">
        <w:rPr>
          <w:rFonts w:ascii="Times New Roman" w:hAnsi="Times New Roman" w:cs="Times New Roman"/>
          <w:sz w:val="24"/>
          <w:szCs w:val="24"/>
        </w:rPr>
        <w:t xml:space="preserve"> </w:t>
      </w:r>
      <w:r w:rsidRPr="00C97452">
        <w:rPr>
          <w:rFonts w:ascii="Times New Roman" w:hAnsi="Times New Roman" w:cs="Times New Roman"/>
          <w:sz w:val="24"/>
          <w:szCs w:val="24"/>
        </w:rPr>
        <w:t>000.</w:t>
      </w:r>
    </w:p>
    <w:p w:rsidR="00DB48ED" w:rsidRPr="00C97452" w:rsidRDefault="00DB48ED"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En materia de educación, el porcentaje de absorción en secundaria (egresados del nivel primario que logran ingresar al inmediato superior) en el ciclo escolar 2012-2013 para el estado de Chihuahua es de 93.6</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menor al promedio nacional (96.9</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y s</w:t>
      </w:r>
      <w:r w:rsidR="007B4C22" w:rsidRPr="00C97452">
        <w:rPr>
          <w:rFonts w:ascii="Times New Roman" w:hAnsi="Times New Roman" w:cs="Times New Roman"/>
          <w:sz w:val="24"/>
          <w:szCs w:val="24"/>
        </w:rPr>
        <w:t>o</w:t>
      </w:r>
      <w:r w:rsidRPr="00C97452">
        <w:rPr>
          <w:rFonts w:ascii="Times New Roman" w:hAnsi="Times New Roman" w:cs="Times New Roman"/>
          <w:sz w:val="24"/>
          <w:szCs w:val="24"/>
        </w:rPr>
        <w:t>lo superior a Chiapas (90.0</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y Guerrero (92.6</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mientras que su cobertura representa 91.4</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De igual manera, es considerado un estado con eficiencia terminal baja (83.1</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y abandono escolar alto (5.6</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w:t>
      </w:r>
      <w:r w:rsidR="007B4C22" w:rsidRPr="00C97452">
        <w:rPr>
          <w:rFonts w:ascii="Times New Roman" w:hAnsi="Times New Roman" w:cs="Times New Roman"/>
          <w:sz w:val="24"/>
          <w:szCs w:val="24"/>
        </w:rPr>
        <w:t>;</w:t>
      </w:r>
      <w:r w:rsidRPr="00C97452">
        <w:rPr>
          <w:rFonts w:ascii="Times New Roman" w:hAnsi="Times New Roman" w:cs="Times New Roman"/>
          <w:sz w:val="24"/>
          <w:szCs w:val="24"/>
        </w:rPr>
        <w:t xml:space="preserve"> en ambos casos los hombres registran los datos más desfavorables: </w:t>
      </w:r>
      <w:r w:rsidRPr="00C97452">
        <w:rPr>
          <w:rFonts w:ascii="Times New Roman" w:hAnsi="Times New Roman" w:cs="Times New Roman"/>
          <w:sz w:val="24"/>
          <w:szCs w:val="24"/>
        </w:rPr>
        <w:lastRenderedPageBreak/>
        <w:t>79.5</w:t>
      </w:r>
      <w:r w:rsidR="00457146" w:rsidRPr="00C97452">
        <w:rPr>
          <w:rFonts w:ascii="Times New Roman" w:hAnsi="Times New Roman" w:cs="Times New Roman"/>
          <w:sz w:val="24"/>
          <w:szCs w:val="24"/>
        </w:rPr>
        <w:t xml:space="preserve"> </w:t>
      </w:r>
      <w:r w:rsidRPr="00C97452">
        <w:rPr>
          <w:rFonts w:ascii="Times New Roman" w:hAnsi="Times New Roman" w:cs="Times New Roman"/>
          <w:sz w:val="24"/>
          <w:szCs w:val="24"/>
        </w:rPr>
        <w:t>% de eficacia terminal frente al 86.8</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de las mujeres, mientras que el abandono en hombres es del 6.9</w:t>
      </w:r>
      <w:r w:rsidR="00457146" w:rsidRPr="00C97452">
        <w:rPr>
          <w:rFonts w:ascii="Times New Roman" w:hAnsi="Times New Roman" w:cs="Times New Roman"/>
          <w:sz w:val="24"/>
          <w:szCs w:val="24"/>
        </w:rPr>
        <w:t xml:space="preserve"> </w:t>
      </w:r>
      <w:r w:rsidRPr="00C97452">
        <w:rPr>
          <w:rFonts w:ascii="Times New Roman" w:hAnsi="Times New Roman" w:cs="Times New Roman"/>
          <w:sz w:val="24"/>
          <w:szCs w:val="24"/>
        </w:rPr>
        <w:t>% y de 4.2</w:t>
      </w:r>
      <w:r w:rsidR="007B4C22" w:rsidRPr="00C97452">
        <w:rPr>
          <w:rFonts w:ascii="Times New Roman" w:hAnsi="Times New Roman" w:cs="Times New Roman"/>
          <w:sz w:val="24"/>
          <w:szCs w:val="24"/>
        </w:rPr>
        <w:t xml:space="preserve"> </w:t>
      </w:r>
      <w:r w:rsidRPr="00C97452">
        <w:rPr>
          <w:rFonts w:ascii="Times New Roman" w:hAnsi="Times New Roman" w:cs="Times New Roman"/>
          <w:sz w:val="24"/>
          <w:szCs w:val="24"/>
        </w:rPr>
        <w:t xml:space="preserve">% en mujeres (SEP, 2013). </w:t>
      </w:r>
    </w:p>
    <w:p w:rsidR="00DB48ED" w:rsidRPr="00C97452" w:rsidRDefault="00DB48ED"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Como se puede observar, hombres y mujeres jóvenes enfrentan condiciones adversas en algunos rubros, expresión de las dificultades de acceso al ejercicio de derechos. Como se ha descrito, la violencia estructural constituye el contexto de vulnerabilidad social en que los habitantes de esta ciudad realizan su vida cotidiana. En el caso de Ciudad Juárez, los años de las violencias han implicado una mayor vulnerabilidad para los jóvenes. En este sentido, dos de los aspectos indicados por </w:t>
      </w:r>
      <w:proofErr w:type="spellStart"/>
      <w:r w:rsidRPr="00C97452">
        <w:rPr>
          <w:rFonts w:ascii="Times New Roman" w:hAnsi="Times New Roman" w:cs="Times New Roman"/>
          <w:sz w:val="24"/>
          <w:szCs w:val="24"/>
        </w:rPr>
        <w:t>Krauskopf</w:t>
      </w:r>
      <w:proofErr w:type="spellEnd"/>
      <w:r w:rsidRPr="00C97452">
        <w:rPr>
          <w:rFonts w:ascii="Times New Roman" w:hAnsi="Times New Roman" w:cs="Times New Roman"/>
          <w:sz w:val="24"/>
          <w:szCs w:val="24"/>
        </w:rPr>
        <w:t xml:space="preserve"> se muestran claramente en el presente juarense: entornos riesgosos, desprotegidos, bélicos, </w:t>
      </w:r>
      <w:proofErr w:type="spellStart"/>
      <w:r w:rsidRPr="00C97452">
        <w:rPr>
          <w:rFonts w:ascii="Times New Roman" w:hAnsi="Times New Roman" w:cs="Times New Roman"/>
          <w:sz w:val="24"/>
          <w:szCs w:val="24"/>
        </w:rPr>
        <w:t>criminalizantes</w:t>
      </w:r>
      <w:proofErr w:type="spellEnd"/>
      <w:r w:rsidRPr="00C97452">
        <w:rPr>
          <w:rFonts w:ascii="Times New Roman" w:hAnsi="Times New Roman" w:cs="Times New Roman"/>
          <w:sz w:val="24"/>
          <w:szCs w:val="24"/>
        </w:rPr>
        <w:t>, en los que la identidad positiva del colectivo es denegada socialmente. Destaca el hecho de que esta violencia estructural se observa no s</w:t>
      </w:r>
      <w:r w:rsidR="005D5206" w:rsidRPr="00C97452">
        <w:rPr>
          <w:rFonts w:ascii="Times New Roman" w:hAnsi="Times New Roman" w:cs="Times New Roman"/>
          <w:sz w:val="24"/>
          <w:szCs w:val="24"/>
        </w:rPr>
        <w:t>o</w:t>
      </w:r>
      <w:r w:rsidRPr="00C97452">
        <w:rPr>
          <w:rFonts w:ascii="Times New Roman" w:hAnsi="Times New Roman" w:cs="Times New Roman"/>
          <w:sz w:val="24"/>
          <w:szCs w:val="24"/>
        </w:rPr>
        <w:t>lo en quienes se encuentran excluidos de la atención a la salud, el acceso a la educación o al trabajo. Los entornos riesgosos y la desprotección aluden también a la ausencia de redes familiares y sociales de apoyo, la inseguridad ciudadana, el ejercicio de la violencia física y verbal, la exposición directa e indirecta a las diversas modalidades de violencia interpersonal, comunitaria y colectiva. Con relación al colectivo, identificado como un grupo de riesgo, se va desarrollando estereotipos que algunos de sus miembros parecen asumir como propios.</w:t>
      </w:r>
    </w:p>
    <w:p w:rsidR="00DB48ED" w:rsidRPr="00C97452" w:rsidRDefault="00DB48ED"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En este sentido se entienden algunas de las expresiones realizadas por </w:t>
      </w:r>
      <w:r w:rsidRPr="00C97452">
        <w:rPr>
          <w:rFonts w:ascii="Times New Roman" w:hAnsi="Times New Roman" w:cs="Times New Roman"/>
          <w:i/>
          <w:sz w:val="24"/>
          <w:szCs w:val="24"/>
        </w:rPr>
        <w:t>adolescentes</w:t>
      </w:r>
      <w:r w:rsidRPr="00C97452">
        <w:rPr>
          <w:rFonts w:ascii="Times New Roman" w:hAnsi="Times New Roman" w:cs="Times New Roman"/>
          <w:sz w:val="24"/>
          <w:szCs w:val="24"/>
        </w:rPr>
        <w:t xml:space="preserve"> y jóvenes de ambos sexos, cuando se les preguntó por sus derechos y responsabilidades en los talleres realizados en la Universidad Autónoma de Ciudad Juárez (UACJ), en un Centro Comunitario Municipal (CCM) y en una Secundaria Técnica de la localidad. En </w:t>
      </w:r>
      <w:r w:rsidR="005D5206" w:rsidRPr="00C97452">
        <w:rPr>
          <w:rFonts w:ascii="Times New Roman" w:hAnsi="Times New Roman" w:cs="Times New Roman"/>
          <w:sz w:val="24"/>
          <w:szCs w:val="24"/>
        </w:rPr>
        <w:t>e</w:t>
      </w:r>
      <w:r w:rsidRPr="00C97452">
        <w:rPr>
          <w:rFonts w:ascii="Times New Roman" w:hAnsi="Times New Roman" w:cs="Times New Roman"/>
          <w:sz w:val="24"/>
          <w:szCs w:val="24"/>
        </w:rPr>
        <w:t xml:space="preserve">sta, estudiantes realizaron el guion, los muñecos y la representación de una obra con títeres, que permite aproximarnos a sus imaginarios. En el CCM se realizó un taller el 25 de noviembre de 2011, en él participaron ocho jóvenes que integraron un grupo de cinco mujeres y tres hombres, con edades entre los 16 y los 23 años, estudiantes que desarrollan actividades de apoyo en el CCM, como becarios o prestadores de servicio social de un Centro de Estudios Tecnológicos Industrial y de Servicios (CETIS) y de dos institutos de la UACJ y uno del Instituto Tecnológico de Ciudad Juárez (ITCJ), habitantes de las colonias Independencia II, Revolución Mexicana, Oasis Revolución y México 68, del poniente de la ciudad. El 25 de </w:t>
      </w:r>
      <w:r w:rsidRPr="00C97452">
        <w:rPr>
          <w:rFonts w:ascii="Times New Roman" w:hAnsi="Times New Roman" w:cs="Times New Roman"/>
          <w:sz w:val="24"/>
          <w:szCs w:val="24"/>
        </w:rPr>
        <w:lastRenderedPageBreak/>
        <w:t xml:space="preserve">octubre de 2012 se trabajó en la UACJ con estudiantes de licenciatura, integrando un grupo de seis mujeres entre los 21 y los 27 años de edad y otro de cinco hombres con edades entre los 22 y los 27 años de edad. En la secundaria se trabajó con 32 alumnos con edades entre los 13 y 14 años, residentes de las colonias Pancho Villa, Aztecas, </w:t>
      </w:r>
      <w:proofErr w:type="spellStart"/>
      <w:r w:rsidRPr="00C97452">
        <w:rPr>
          <w:rFonts w:ascii="Times New Roman" w:hAnsi="Times New Roman" w:cs="Times New Roman"/>
          <w:sz w:val="24"/>
          <w:szCs w:val="24"/>
        </w:rPr>
        <w:t>Jarudo</w:t>
      </w:r>
      <w:proofErr w:type="spellEnd"/>
      <w:r w:rsidRPr="00C97452">
        <w:rPr>
          <w:rFonts w:ascii="Times New Roman" w:hAnsi="Times New Roman" w:cs="Times New Roman"/>
          <w:sz w:val="24"/>
          <w:szCs w:val="24"/>
        </w:rPr>
        <w:t>. El taller se realizó el 16 de enero de 2012 y el taller de títeres de febrero a mayo de 2012. El 4 de junio se presentó la obra en las instalaciones de la escuela.</w:t>
      </w:r>
    </w:p>
    <w:p w:rsidR="00DB48ED" w:rsidRPr="00C97452" w:rsidRDefault="00DB48ED" w:rsidP="00C97452">
      <w:pPr>
        <w:spacing w:after="0" w:line="360" w:lineRule="auto"/>
        <w:jc w:val="both"/>
        <w:rPr>
          <w:rFonts w:ascii="Times New Roman" w:hAnsi="Times New Roman" w:cs="Times New Roman"/>
          <w:sz w:val="24"/>
          <w:szCs w:val="24"/>
        </w:rPr>
      </w:pPr>
    </w:p>
    <w:p w:rsidR="005D5206" w:rsidRPr="00C97452" w:rsidRDefault="005D5206" w:rsidP="00C97452">
      <w:pPr>
        <w:spacing w:after="0" w:line="360" w:lineRule="auto"/>
        <w:jc w:val="both"/>
        <w:rPr>
          <w:rFonts w:ascii="Times New Roman" w:hAnsi="Times New Roman" w:cs="Times New Roman"/>
          <w:sz w:val="24"/>
          <w:szCs w:val="24"/>
        </w:rPr>
      </w:pPr>
    </w:p>
    <w:p w:rsidR="00703217" w:rsidRPr="00C97452" w:rsidRDefault="00703217" w:rsidP="00C97452">
      <w:pPr>
        <w:spacing w:after="0" w:line="360" w:lineRule="auto"/>
        <w:jc w:val="both"/>
        <w:rPr>
          <w:rFonts w:ascii="Times New Roman" w:hAnsi="Times New Roman" w:cs="Times New Roman"/>
          <w:b/>
          <w:sz w:val="24"/>
          <w:szCs w:val="24"/>
        </w:rPr>
      </w:pPr>
      <w:r w:rsidRPr="00C97452">
        <w:rPr>
          <w:rFonts w:ascii="Times New Roman" w:hAnsi="Times New Roman" w:cs="Times New Roman"/>
          <w:b/>
          <w:sz w:val="24"/>
          <w:szCs w:val="24"/>
        </w:rPr>
        <w:t>3. Sus derechos y responsabilidades</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En el caso de los jóvenes del CCM, las concepciones expresadas en relación a sus derechos y responsabilidades hacen referencia tanto a patrones de género con predominio masculino como al reconocimiento de ciertas atribuciones que insinúan algunos incipientes cambios. Para este ejercicio se integraron dos equipos, uno formado por mujeres y otro mixto. Mientras en el primero se apela a la equidad y el acceso a espacios de actividad dominados por los hombres, en el segundo se manifiesta un posicionamiento donde la homofobia y el predomino masculino siguen presentes. Por ejemplo, las mujeres expresan su convencimiento de que sus derechos implican, entre otras atribuciones, el tener acceso a estudiar carreras y tener trabajos </w:t>
      </w:r>
      <w:r w:rsidRPr="00C97452">
        <w:rPr>
          <w:rFonts w:ascii="Times New Roman" w:hAnsi="Times New Roman" w:cs="Times New Roman"/>
          <w:i/>
          <w:sz w:val="24"/>
          <w:szCs w:val="24"/>
        </w:rPr>
        <w:t>de hombres</w:t>
      </w:r>
      <w:r w:rsidRPr="00C97452">
        <w:rPr>
          <w:rFonts w:ascii="Times New Roman" w:hAnsi="Times New Roman" w:cs="Times New Roman"/>
          <w:sz w:val="24"/>
          <w:szCs w:val="24"/>
        </w:rPr>
        <w:t xml:space="preserve">, especificando el acceso a puestos de mando. Identifican la igualdad de género y el derecho a la diversión, lo que a su vez significa transgredir otros espacios usualmente considerados masculinos, como ya han documentado entre otros Balderas (1999) y Zermeño (2004). Tener un hogar es otro derecho al que hicieron referencia. Como sus responsabilidades mencionaron las labores del hogar, la atención a hijos y marido, ser atenta y comprensiva, educarse, darse a respetar y trabajar si se requiere, lo que hace pensar que se considera </w:t>
      </w:r>
      <w:r w:rsidR="00DB48ED" w:rsidRPr="00C97452">
        <w:rPr>
          <w:rFonts w:ascii="Times New Roman" w:hAnsi="Times New Roman" w:cs="Times New Roman"/>
          <w:sz w:val="24"/>
          <w:szCs w:val="24"/>
        </w:rPr>
        <w:t>como</w:t>
      </w:r>
      <w:r w:rsidRPr="00C97452">
        <w:rPr>
          <w:rFonts w:ascii="Times New Roman" w:hAnsi="Times New Roman" w:cs="Times New Roman"/>
          <w:sz w:val="24"/>
          <w:szCs w:val="24"/>
        </w:rPr>
        <w:t xml:space="preserve"> primera opción que el hombre trabaje y provea, mientras ellas asumen las labores domésticas, las de cuidado y atención. Como responsabilidades de los hombres identifican, además de trabajar, dar amor, ser caballerosos y respetuosos, aspectos vinculados a lo que se ha denominado nuevas masculinidades, como el hacer labores del hogar, cuidar y educar a los hijos y reconocer la igualdad de género. Es interesante que entre los derechos de los hombres consideren el expresar sentimientos, ser tratado igual que las mujeres, expresar su preferencia sexual y el tener un hogar. Además </w:t>
      </w:r>
      <w:r w:rsidRPr="00C97452">
        <w:rPr>
          <w:rFonts w:ascii="Times New Roman" w:hAnsi="Times New Roman" w:cs="Times New Roman"/>
          <w:sz w:val="24"/>
          <w:szCs w:val="24"/>
          <w:lang w:val="es-MX"/>
        </w:rPr>
        <w:t xml:space="preserve">del acceso a la </w:t>
      </w:r>
      <w:r w:rsidRPr="00C97452">
        <w:rPr>
          <w:rFonts w:ascii="Times New Roman" w:hAnsi="Times New Roman" w:cs="Times New Roman"/>
          <w:sz w:val="24"/>
          <w:szCs w:val="24"/>
        </w:rPr>
        <w:t>educación, tener trabajo y derecho a la diversión.</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lastRenderedPageBreak/>
        <w:t xml:space="preserve">El equipo mixto plantea algunas diferencias. Al referirse a los derechos de las mujeres se registran algunos atributos tradicionalmente asignados a las mujeres: </w:t>
      </w:r>
      <w:r w:rsidRPr="00C97452">
        <w:rPr>
          <w:rFonts w:ascii="Times New Roman" w:hAnsi="Times New Roman" w:cs="Times New Roman"/>
          <w:sz w:val="24"/>
          <w:szCs w:val="24"/>
          <w:lang w:val="es-MX"/>
        </w:rPr>
        <w:t xml:space="preserve">ser femeninas, </w:t>
      </w:r>
      <w:r w:rsidRPr="00C97452">
        <w:rPr>
          <w:rFonts w:ascii="Times New Roman" w:hAnsi="Times New Roman" w:cs="Times New Roman"/>
          <w:sz w:val="24"/>
          <w:szCs w:val="24"/>
        </w:rPr>
        <w:t>p</w:t>
      </w:r>
      <w:r w:rsidRPr="00C97452">
        <w:rPr>
          <w:rFonts w:ascii="Times New Roman" w:hAnsi="Times New Roman" w:cs="Times New Roman"/>
          <w:sz w:val="24"/>
          <w:szCs w:val="24"/>
          <w:lang w:val="es-MX"/>
        </w:rPr>
        <w:t xml:space="preserve">lanchar, lavar y cocinar. Otros resultan significativos en el contexto local. Por ejemplo, el derecho a vivir, propio de todo ser humano, al ser planteado por jóvenes en una localidad en estado cuasi bélico y </w:t>
      </w:r>
      <w:proofErr w:type="spellStart"/>
      <w:r w:rsidRPr="00C97452">
        <w:rPr>
          <w:rFonts w:ascii="Times New Roman" w:hAnsi="Times New Roman" w:cs="Times New Roman"/>
          <w:sz w:val="24"/>
          <w:szCs w:val="24"/>
          <w:lang w:val="es-MX"/>
        </w:rPr>
        <w:t>criminalizante</w:t>
      </w:r>
      <w:proofErr w:type="spellEnd"/>
      <w:r w:rsidRPr="00C97452">
        <w:rPr>
          <w:rFonts w:ascii="Times New Roman" w:hAnsi="Times New Roman" w:cs="Times New Roman"/>
          <w:sz w:val="24"/>
          <w:szCs w:val="24"/>
          <w:lang w:val="es-MX"/>
        </w:rPr>
        <w:t xml:space="preserve">, donde las y los jóvenes son víctimas de diversas manifestaciones de violencia, adquiere un énfasis a destacar, como el derecho </w:t>
      </w:r>
      <w:r w:rsidR="001366F1" w:rsidRPr="00C97452">
        <w:rPr>
          <w:rFonts w:ascii="Times New Roman" w:hAnsi="Times New Roman" w:cs="Times New Roman"/>
          <w:sz w:val="24"/>
          <w:szCs w:val="24"/>
          <w:lang w:val="es-MX"/>
        </w:rPr>
        <w:t xml:space="preserve">a </w:t>
      </w:r>
      <w:r w:rsidRPr="00C97452">
        <w:rPr>
          <w:rFonts w:ascii="Times New Roman" w:hAnsi="Times New Roman" w:cs="Times New Roman"/>
          <w:sz w:val="24"/>
          <w:szCs w:val="24"/>
        </w:rPr>
        <w:t xml:space="preserve">tener hijos y </w:t>
      </w:r>
      <w:r w:rsidRPr="00C97452">
        <w:rPr>
          <w:rFonts w:ascii="Times New Roman" w:hAnsi="Times New Roman" w:cs="Times New Roman"/>
          <w:sz w:val="24"/>
          <w:szCs w:val="24"/>
          <w:lang w:val="es-MX"/>
        </w:rPr>
        <w:t xml:space="preserve">a guardar silencio. En el mismo sentido, llama la atención que entre las responsabilidades de las mujeres se </w:t>
      </w:r>
      <w:r w:rsidRPr="00C97452">
        <w:rPr>
          <w:rFonts w:ascii="Times New Roman" w:hAnsi="Times New Roman" w:cs="Times New Roman"/>
          <w:sz w:val="24"/>
          <w:szCs w:val="24"/>
        </w:rPr>
        <w:t>mencione</w:t>
      </w:r>
      <w:r w:rsidRPr="00C97452">
        <w:rPr>
          <w:rFonts w:ascii="Times New Roman" w:hAnsi="Times New Roman" w:cs="Times New Roman"/>
          <w:sz w:val="24"/>
          <w:szCs w:val="24"/>
          <w:lang w:val="es-MX"/>
        </w:rPr>
        <w:t xml:space="preserve"> el soportar agresiones y </w:t>
      </w:r>
      <w:r w:rsidRPr="00C97452">
        <w:rPr>
          <w:rFonts w:ascii="Times New Roman" w:hAnsi="Times New Roman" w:cs="Times New Roman"/>
          <w:sz w:val="24"/>
          <w:szCs w:val="24"/>
        </w:rPr>
        <w:t xml:space="preserve">guardar silencio. La mirada negativa se refuerza con la exclusión, cuando indican las responsabilidades </w:t>
      </w:r>
      <w:r w:rsidRPr="00C97452">
        <w:rPr>
          <w:rFonts w:ascii="Times New Roman" w:hAnsi="Times New Roman" w:cs="Times New Roman"/>
          <w:sz w:val="24"/>
          <w:szCs w:val="24"/>
          <w:lang w:val="es-MX"/>
        </w:rPr>
        <w:t>de n</w:t>
      </w:r>
      <w:r w:rsidRPr="00C97452">
        <w:rPr>
          <w:rFonts w:ascii="Times New Roman" w:hAnsi="Times New Roman" w:cs="Times New Roman"/>
          <w:sz w:val="24"/>
          <w:szCs w:val="24"/>
        </w:rPr>
        <w:t>o estudiar y no trabajar. Otras son de tipo tradicional: criar bien a los hijos, lavar y cocinar. La tensión presente entre las y los participantes del equipo mixto se observa de manera más clara cuando se mencionan las responsabilidades y derechos de los hombres. De las primeras se destaca una mirada masculina dominante y homofóbica, si se acepta que los hombres deben mantener a su familia, evitar llorar, no aceptar homosexuales y dar buen ejemplo. Los derechos de los hombres comprenden el vivir y el acceso a trabajo digno, dos demandas constantes. Desde la masculinidad estereotipada se menciona el ser mujeriegos, tomar en exceso, agredir y ser machista. Con estas atribuciones en mente, la diversión adquiere otra connotación. Se registra el derecho a la religión, una libertad que en su ejercicio en esta ciudad ha posibilitado el establecimiento y crecimiento de diversas confesiones religiosas, que han aportado sus doctrinas y creencias para prevenir la violencia y ofrecer consuelo, como en otras épocas contribuyeron a la movilización social y la participación política.</w:t>
      </w:r>
    </w:p>
    <w:p w:rsidR="00554844" w:rsidRPr="00C97452" w:rsidRDefault="00554844"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Con los universitarios se trabajó con una técnica que permitió que las y los jóvenes expresaran de manera individual qué les gusta y qué les disgusta de ser jóvenes. Sus juicios permiten contrastar sus perspectivas individuales, así como comparar las aproximaciones de mujeres y hombres. Con este fin, se analizan casos particulares y se identifican los tópicos que son abordados a partir de la </w:t>
      </w:r>
      <w:proofErr w:type="spellStart"/>
      <w:r w:rsidRPr="00C97452">
        <w:rPr>
          <w:rFonts w:ascii="Times New Roman" w:hAnsi="Times New Roman" w:cs="Times New Roman"/>
          <w:sz w:val="24"/>
          <w:szCs w:val="24"/>
        </w:rPr>
        <w:t>sobrelexicación</w:t>
      </w:r>
      <w:proofErr w:type="spellEnd"/>
      <w:r w:rsidRPr="00C97452">
        <w:rPr>
          <w:rFonts w:ascii="Times New Roman" w:hAnsi="Times New Roman" w:cs="Times New Roman"/>
          <w:sz w:val="24"/>
          <w:szCs w:val="24"/>
        </w:rPr>
        <w:t xml:space="preserve"> o proliferación de términos (Molero, Romero y Cabeza, 2003) de que hacen uso para referirse a su ser jóvenes. Se muestra el arreglo de conceptos que originalmente se redactaron sin guardar mayor orden que distinguir un adentro (lo que me gusta) de un afuera (lo que me disgusta). El primer caso, </w:t>
      </w:r>
      <w:r w:rsidR="006D6D94" w:rsidRPr="00C97452">
        <w:rPr>
          <w:rFonts w:ascii="Times New Roman" w:hAnsi="Times New Roman" w:cs="Times New Roman"/>
          <w:sz w:val="24"/>
          <w:szCs w:val="24"/>
        </w:rPr>
        <w:t xml:space="preserve">una </w:t>
      </w:r>
      <w:r w:rsidRPr="00C97452">
        <w:rPr>
          <w:rFonts w:ascii="Times New Roman" w:hAnsi="Times New Roman" w:cs="Times New Roman"/>
          <w:sz w:val="24"/>
          <w:szCs w:val="24"/>
        </w:rPr>
        <w:t xml:space="preserve">mujer de 21 años manifiesta, al identificar lo que le gusta y disgusta de ser joven, </w:t>
      </w:r>
      <w:r w:rsidRPr="00C97452">
        <w:rPr>
          <w:rFonts w:ascii="Times New Roman" w:hAnsi="Times New Roman" w:cs="Times New Roman"/>
          <w:sz w:val="24"/>
          <w:szCs w:val="24"/>
        </w:rPr>
        <w:lastRenderedPageBreak/>
        <w:t>una clara congruencia, se asume como actor capaz de decidir por sí misma y a la vez sujeta a prejuicios. Otra joven de 22 años se identifica con la novedad, la espontaneidad, la movilidad y su distanciamiento de la rutina, m</w:t>
      </w:r>
      <w:r w:rsidR="006D6D94" w:rsidRPr="00C97452">
        <w:rPr>
          <w:rFonts w:ascii="Times New Roman" w:hAnsi="Times New Roman" w:cs="Times New Roman"/>
          <w:sz w:val="24"/>
          <w:szCs w:val="24"/>
        </w:rPr>
        <w:t>a</w:t>
      </w:r>
      <w:r w:rsidRPr="00C97452">
        <w:rPr>
          <w:rFonts w:ascii="Times New Roman" w:hAnsi="Times New Roman" w:cs="Times New Roman"/>
          <w:sz w:val="24"/>
          <w:szCs w:val="24"/>
        </w:rPr>
        <w:t xml:space="preserve">s no deja de evidenciar las contradicciones de su estatus: puede ser independiente y trabajadora, </w:t>
      </w:r>
      <w:r w:rsidR="006D6D94" w:rsidRPr="00C97452">
        <w:rPr>
          <w:rFonts w:ascii="Times New Roman" w:hAnsi="Times New Roman" w:cs="Times New Roman"/>
          <w:sz w:val="24"/>
          <w:szCs w:val="24"/>
        </w:rPr>
        <w:t>pero</w:t>
      </w:r>
      <w:r w:rsidRPr="00C97452">
        <w:rPr>
          <w:rFonts w:ascii="Times New Roman" w:hAnsi="Times New Roman" w:cs="Times New Roman"/>
          <w:sz w:val="24"/>
          <w:szCs w:val="24"/>
        </w:rPr>
        <w:t xml:space="preserve"> tiene que acreditar constantemente su existencia legal o personalidad jurídica por los prejuicios existentes y quizás por la condición compartida con otras y otros de vulnerabilidad y temor, por ello su discurso sobre lo que le disgusta es una constante referencia al </w:t>
      </w:r>
      <w:r w:rsidRPr="00C97452">
        <w:rPr>
          <w:rFonts w:ascii="Times New Roman" w:hAnsi="Times New Roman" w:cs="Times New Roman"/>
          <w:i/>
          <w:sz w:val="24"/>
          <w:szCs w:val="24"/>
        </w:rPr>
        <w:t>nosotros</w:t>
      </w:r>
      <w:r w:rsidRPr="00C97452">
        <w:rPr>
          <w:rFonts w:ascii="Times New Roman" w:hAnsi="Times New Roman" w:cs="Times New Roman"/>
          <w:sz w:val="24"/>
          <w:szCs w:val="24"/>
        </w:rPr>
        <w:t>.</w:t>
      </w:r>
    </w:p>
    <w:p w:rsidR="00554844" w:rsidRPr="00C97452" w:rsidRDefault="00554844"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Disfrutar esta etapa de vida, de la ansiedad del descubrimiento, reconocerse en la belleza de la juventud y con la ganas de experimentarlo todo, del enamoramiento a la plenitud del amor en sus diversas facetas, constituyen</w:t>
      </w:r>
      <w:r w:rsidR="00716F45" w:rsidRPr="00C97452">
        <w:rPr>
          <w:rFonts w:ascii="Times New Roman" w:hAnsi="Times New Roman" w:cs="Times New Roman"/>
          <w:sz w:val="24"/>
          <w:szCs w:val="24"/>
        </w:rPr>
        <w:t xml:space="preserve"> para una estudiante de 24 años</w:t>
      </w:r>
      <w:r w:rsidRPr="00C97452">
        <w:rPr>
          <w:rFonts w:ascii="Times New Roman" w:hAnsi="Times New Roman" w:cs="Times New Roman"/>
          <w:sz w:val="24"/>
          <w:szCs w:val="24"/>
        </w:rPr>
        <w:t xml:space="preserve"> la contraparte de lo que reconoce y aprecia, </w:t>
      </w:r>
      <w:r w:rsidR="006D6D94" w:rsidRPr="00C97452">
        <w:rPr>
          <w:rFonts w:ascii="Times New Roman" w:hAnsi="Times New Roman" w:cs="Times New Roman"/>
          <w:sz w:val="24"/>
          <w:szCs w:val="24"/>
        </w:rPr>
        <w:t>pero</w:t>
      </w:r>
      <w:r w:rsidRPr="00C97452">
        <w:rPr>
          <w:rFonts w:ascii="Times New Roman" w:hAnsi="Times New Roman" w:cs="Times New Roman"/>
          <w:sz w:val="24"/>
          <w:szCs w:val="24"/>
        </w:rPr>
        <w:t xml:space="preserve"> también de lo que considera carecer: la sabiduría y la experiencia. La primera la observa en adultos mayores y niños, la segunda porque evidencia sus desasosiegos. Se manifiesta conforme con las ventajas que ofrece su núcleo familiar, </w:t>
      </w:r>
      <w:r w:rsidR="006D6D94" w:rsidRPr="00C97452">
        <w:rPr>
          <w:rFonts w:ascii="Times New Roman" w:hAnsi="Times New Roman" w:cs="Times New Roman"/>
          <w:sz w:val="24"/>
          <w:szCs w:val="24"/>
        </w:rPr>
        <w:t>pero</w:t>
      </w:r>
      <w:r w:rsidRPr="00C97452">
        <w:rPr>
          <w:rFonts w:ascii="Times New Roman" w:hAnsi="Times New Roman" w:cs="Times New Roman"/>
          <w:sz w:val="24"/>
          <w:szCs w:val="24"/>
        </w:rPr>
        <w:t xml:space="preserve"> no con algunos efectos bilógicos de ser mujer, pues no todas las personas lo comprenden. Esta comodidad que ofrece la pertenencia y permanencia en la familia posibilita también que algunas personas puedan considerar que todo sea más fácil, puedan realizar actividades recreativas y no verse en la necesidad de trabajar, lo que posibilita</w:t>
      </w:r>
      <w:r w:rsidR="006D6D94" w:rsidRPr="00C97452">
        <w:rPr>
          <w:rFonts w:ascii="Times New Roman" w:hAnsi="Times New Roman" w:cs="Times New Roman"/>
          <w:sz w:val="24"/>
          <w:szCs w:val="24"/>
        </w:rPr>
        <w:t>,</w:t>
      </w:r>
      <w:r w:rsidRPr="00C97452">
        <w:rPr>
          <w:rFonts w:ascii="Times New Roman" w:hAnsi="Times New Roman" w:cs="Times New Roman"/>
          <w:sz w:val="24"/>
          <w:szCs w:val="24"/>
        </w:rPr>
        <w:t xml:space="preserve"> entre otras cosas, brindar al organismo horas de descanso, bajos niveles de estrés y mayor salud mientras se accede al estudio. Estas ventajas implican, co</w:t>
      </w:r>
      <w:r w:rsidR="00716F45" w:rsidRPr="00C97452">
        <w:rPr>
          <w:rFonts w:ascii="Times New Roman" w:hAnsi="Times New Roman" w:cs="Times New Roman"/>
          <w:sz w:val="24"/>
          <w:szCs w:val="24"/>
        </w:rPr>
        <w:t>mo muestra una joven de 26 años</w:t>
      </w:r>
      <w:r w:rsidRPr="00C97452">
        <w:rPr>
          <w:rFonts w:ascii="Times New Roman" w:hAnsi="Times New Roman" w:cs="Times New Roman"/>
          <w:sz w:val="24"/>
          <w:szCs w:val="24"/>
        </w:rPr>
        <w:t>, su contraparte: irrespeto, depender de la familia y el reconocimiento de que en el orden vigente se tendrán que asumir responsabilidades, entre ellas, trabajar.</w:t>
      </w:r>
    </w:p>
    <w:p w:rsidR="00554844" w:rsidRPr="00C97452" w:rsidRDefault="00554844" w:rsidP="00C97452">
      <w:pPr>
        <w:spacing w:after="0" w:line="360" w:lineRule="auto"/>
        <w:jc w:val="both"/>
        <w:rPr>
          <w:rFonts w:ascii="Times New Roman" w:hAnsi="Times New Roman" w:cs="Times New Roman"/>
          <w:sz w:val="24"/>
          <w:szCs w:val="24"/>
        </w:rPr>
      </w:pPr>
    </w:p>
    <w:p w:rsidR="003749A5" w:rsidRPr="00C97452" w:rsidRDefault="00716F4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Para otra estudiante de 26 años</w:t>
      </w:r>
      <w:r w:rsidR="003749A5" w:rsidRPr="00C97452">
        <w:rPr>
          <w:rFonts w:ascii="Times New Roman" w:hAnsi="Times New Roman" w:cs="Times New Roman"/>
          <w:sz w:val="24"/>
          <w:szCs w:val="24"/>
        </w:rPr>
        <w:t xml:space="preserve">, algunos atributos son comunes, como la posibilidad de experimentar más destinos, tener pocas responsabilidades o el aprendizaje posible cuando algo interesa. La juventud como etapa pasajera: se ubica en el cuerpo “porque el tiempo pasa muy rápido, </w:t>
      </w:r>
      <w:r w:rsidR="003749A5" w:rsidRPr="00C97452">
        <w:rPr>
          <w:rFonts w:ascii="Times New Roman" w:hAnsi="Times New Roman" w:cs="Times New Roman"/>
          <w:sz w:val="24"/>
          <w:szCs w:val="24"/>
          <w:lang w:val="es-ES_tradnl"/>
        </w:rPr>
        <w:t>ja</w:t>
      </w:r>
      <w:r w:rsidR="003749A5" w:rsidRPr="00C97452">
        <w:rPr>
          <w:rFonts w:ascii="Times New Roman" w:hAnsi="Times New Roman" w:cs="Times New Roman"/>
          <w:sz w:val="24"/>
          <w:szCs w:val="24"/>
        </w:rPr>
        <w:t>, ja, y pronto dejaré de serlo”; y relativa al contexto: y también se concibe en las limitaciones que el medio: “No me gusta ser joven en este momento porque vivo en un mundo muy restringido, no hay mucha seguridad ni libertad de expresión”.</w:t>
      </w:r>
    </w:p>
    <w:p w:rsidR="00554844" w:rsidRPr="00C97452" w:rsidRDefault="00554844"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lastRenderedPageBreak/>
        <w:t xml:space="preserve">Ser asertiva, capaz de tomar decisiones, con trabajo estable y ser estudiante son algunas cosas que le gustan a otra universitaria de 27 años, a la que gusta hacer cosas diferentes, jugar, “coleccionar tesoros simples” y ser alegre. Al asumirse se distingue, al hacerlo confronta como disgusto la represión, la doble moral, la vigilancia bien y malintencionada, así como la intervención en su vida por considerarle vulnerable, condición que no obstante, reconoce: “Descubrir que las personas me ven aunque yo no logre percibirlo a menudo y que ello me ponga en situación de riesgo”.  </w:t>
      </w:r>
    </w:p>
    <w:p w:rsidR="00554844" w:rsidRPr="00C97452" w:rsidRDefault="00554844"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La perspectiva de los jóvenes universitarios consultados ofrece similitudes y diferencias. Por ejemplo, un estudiante de 22 años destaca su disgusto por el prejuicio, la falta de oportunidades, el miedo, el odio e incluso lo que considera la instrumentación de “políticas públicas en contra” de los jóvenes. En cambio</w:t>
      </w:r>
      <w:r w:rsidR="00B76490" w:rsidRPr="00C97452">
        <w:rPr>
          <w:rFonts w:ascii="Times New Roman" w:hAnsi="Times New Roman" w:cs="Times New Roman"/>
          <w:sz w:val="24"/>
          <w:szCs w:val="24"/>
        </w:rPr>
        <w:t>,</w:t>
      </w:r>
      <w:r w:rsidRPr="00C97452">
        <w:rPr>
          <w:rFonts w:ascii="Times New Roman" w:hAnsi="Times New Roman" w:cs="Times New Roman"/>
          <w:sz w:val="24"/>
          <w:szCs w:val="24"/>
        </w:rPr>
        <w:t xml:space="preserve"> valora la inmadurez y la impulsividad, como signos de aquella actitud que no se conforma con lo que se le(s) ofrece. En ese sentido</w:t>
      </w:r>
      <w:r w:rsidR="00B76490" w:rsidRPr="00C97452">
        <w:rPr>
          <w:rFonts w:ascii="Times New Roman" w:hAnsi="Times New Roman" w:cs="Times New Roman"/>
          <w:sz w:val="24"/>
          <w:szCs w:val="24"/>
        </w:rPr>
        <w:t>,</w:t>
      </w:r>
      <w:r w:rsidRPr="00C97452">
        <w:rPr>
          <w:rFonts w:ascii="Times New Roman" w:hAnsi="Times New Roman" w:cs="Times New Roman"/>
          <w:sz w:val="24"/>
          <w:szCs w:val="24"/>
        </w:rPr>
        <w:t xml:space="preserve"> el tiempo en que se vive y del que se dispone se tiene en alta estima, pues es posible disfrutar de hechos o cosas sin aparente relevancia que en otro tiempo y bajo la sombra de la madurez no son necesariamente permisibles, como la alegría o la expresión de sentimientos. </w:t>
      </w:r>
    </w:p>
    <w:p w:rsidR="00554844" w:rsidRPr="00C97452" w:rsidRDefault="00554844"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Dado el tiempo de vida y el por vivir, recuérdese que en cierto sentido cuando se es joven todo está por-venir, las capacidades físicas e intelectuales constituyen un patrimonio que idealmente, contando con pocas responsabilidades, ofrece la posibilidad de planear y plantearse sueños, con una amplia gama de probabilidades que permiten</w:t>
      </w:r>
      <w:r w:rsidR="003778FF" w:rsidRPr="00C97452">
        <w:rPr>
          <w:rFonts w:ascii="Times New Roman" w:hAnsi="Times New Roman" w:cs="Times New Roman"/>
          <w:sz w:val="24"/>
          <w:szCs w:val="24"/>
        </w:rPr>
        <w:t>,</w:t>
      </w:r>
      <w:r w:rsidRPr="00C97452">
        <w:rPr>
          <w:rFonts w:ascii="Times New Roman" w:hAnsi="Times New Roman" w:cs="Times New Roman"/>
          <w:sz w:val="24"/>
          <w:szCs w:val="24"/>
        </w:rPr>
        <w:t xml:space="preserve"> además</w:t>
      </w:r>
      <w:r w:rsidR="003778FF" w:rsidRPr="00C97452">
        <w:rPr>
          <w:rFonts w:ascii="Times New Roman" w:hAnsi="Times New Roman" w:cs="Times New Roman"/>
          <w:sz w:val="24"/>
          <w:szCs w:val="24"/>
        </w:rPr>
        <w:t xml:space="preserve"> e</w:t>
      </w:r>
      <w:r w:rsidRPr="00C97452">
        <w:rPr>
          <w:rFonts w:ascii="Times New Roman" w:hAnsi="Times New Roman" w:cs="Times New Roman"/>
          <w:sz w:val="24"/>
          <w:szCs w:val="24"/>
        </w:rPr>
        <w:t xml:space="preserve"> hipotéticamente, cambiar el rumbo si es que se requiere o desea. No obstante, ese patrimonio es insuficiente en un orden donde el consumo es emblemático y el capital monetario es cuasi indispensable. Carecer de </w:t>
      </w:r>
      <w:r w:rsidR="003778FF" w:rsidRPr="00C97452">
        <w:rPr>
          <w:rFonts w:ascii="Times New Roman" w:hAnsi="Times New Roman" w:cs="Times New Roman"/>
          <w:sz w:val="24"/>
          <w:szCs w:val="24"/>
        </w:rPr>
        <w:t>e</w:t>
      </w:r>
      <w:r w:rsidRPr="00C97452">
        <w:rPr>
          <w:rFonts w:ascii="Times New Roman" w:hAnsi="Times New Roman" w:cs="Times New Roman"/>
          <w:sz w:val="24"/>
          <w:szCs w:val="24"/>
        </w:rPr>
        <w:t>ste pudiera significar “no tener un lugar en la vida”.</w:t>
      </w: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Para un estudiante de 26 años</w:t>
      </w:r>
      <w:r w:rsidR="003778FF" w:rsidRPr="00C97452">
        <w:rPr>
          <w:rFonts w:ascii="Times New Roman" w:hAnsi="Times New Roman" w:cs="Times New Roman"/>
          <w:sz w:val="24"/>
          <w:szCs w:val="24"/>
        </w:rPr>
        <w:t>,</w:t>
      </w:r>
      <w:r w:rsidRPr="00C97452">
        <w:rPr>
          <w:rFonts w:ascii="Times New Roman" w:hAnsi="Times New Roman" w:cs="Times New Roman"/>
          <w:sz w:val="24"/>
          <w:szCs w:val="24"/>
        </w:rPr>
        <w:t xml:space="preserve"> el futuro y el pasado son factores que se anudan en su presente: el futuro no es relevante y no importa cuáles consecuencias se produzcan por lo que ahora se hace, </w:t>
      </w:r>
      <w:r w:rsidR="003778FF" w:rsidRPr="00C97452">
        <w:rPr>
          <w:rFonts w:ascii="Times New Roman" w:hAnsi="Times New Roman" w:cs="Times New Roman"/>
          <w:sz w:val="24"/>
          <w:szCs w:val="24"/>
        </w:rPr>
        <w:t>pero</w:t>
      </w:r>
      <w:r w:rsidRPr="00C97452">
        <w:rPr>
          <w:rFonts w:ascii="Times New Roman" w:hAnsi="Times New Roman" w:cs="Times New Roman"/>
          <w:sz w:val="24"/>
          <w:szCs w:val="24"/>
        </w:rPr>
        <w:t xml:space="preserve"> es causa de disgusto el tener que responder (ergo responsabilizarse), de los problemas derivados del pasado y de aquellos que </w:t>
      </w:r>
      <w:r w:rsidR="003778FF" w:rsidRPr="00C97452">
        <w:rPr>
          <w:rFonts w:ascii="Times New Roman" w:hAnsi="Times New Roman" w:cs="Times New Roman"/>
          <w:sz w:val="24"/>
          <w:szCs w:val="24"/>
        </w:rPr>
        <w:t>habrá que</w:t>
      </w:r>
      <w:r w:rsidRPr="00C97452">
        <w:rPr>
          <w:rFonts w:ascii="Times New Roman" w:hAnsi="Times New Roman" w:cs="Times New Roman"/>
          <w:sz w:val="24"/>
          <w:szCs w:val="24"/>
        </w:rPr>
        <w:t xml:space="preserve"> enfrentar en el porvenir, incluso como obligaciones del vivir juntos: “trabajar, comportarte, </w:t>
      </w:r>
      <w:r w:rsidRPr="00C97452">
        <w:rPr>
          <w:rFonts w:ascii="Times New Roman" w:hAnsi="Times New Roman" w:cs="Times New Roman"/>
          <w:sz w:val="24"/>
          <w:szCs w:val="24"/>
        </w:rPr>
        <w:lastRenderedPageBreak/>
        <w:t xml:space="preserve">vestir, todo aquello que ‘dice’ la sociedad que está bien”. De igual manera, el gusto por la libertad se enfrenta a las dificultades para expresar libremente “nuestros ideales” y desarticular los estereotipos. </w:t>
      </w:r>
    </w:p>
    <w:p w:rsidR="00554844" w:rsidRPr="00C97452" w:rsidRDefault="00554844"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El futuro tiene una concepción distinta en un joven de 27 años, que prevé “sembrar cosas hoy para cosechar mañana</w:t>
      </w:r>
      <w:r w:rsidR="003778FF" w:rsidRPr="00C97452">
        <w:rPr>
          <w:rFonts w:ascii="Times New Roman" w:hAnsi="Times New Roman" w:cs="Times New Roman"/>
          <w:sz w:val="24"/>
          <w:szCs w:val="24"/>
        </w:rPr>
        <w:t>”</w:t>
      </w:r>
      <w:r w:rsidRPr="00C97452">
        <w:rPr>
          <w:rFonts w:ascii="Times New Roman" w:hAnsi="Times New Roman" w:cs="Times New Roman"/>
          <w:sz w:val="24"/>
          <w:szCs w:val="24"/>
        </w:rPr>
        <w:t>. Esta cosecha contempla como probabilidad cambiar el mundo, el derecho a ser idealista y a sustraerse a la influencia del dinero, reconociendo que para ello se enfrentan condiciones adversas que los círculos de poder cerrado, la corrupción y las autoridades plantean a quienes estereotipan: “el creer que ser joven es igual a ser delincuente”. Por sí mismos, algunos atributos del estereotipo son motivo de disgusto, como las armas y las drogas. No obstante, se resiente “la falta de compromiso de los jóvenes por los demás” y en cambio considerar recibir beneficios sin esforzarse para hacerse acreedores a ellos. En este sentido se entiende</w:t>
      </w:r>
      <w:r w:rsidR="003778FF" w:rsidRPr="00C97452">
        <w:rPr>
          <w:rFonts w:ascii="Times New Roman" w:hAnsi="Times New Roman" w:cs="Times New Roman"/>
          <w:sz w:val="24"/>
          <w:szCs w:val="24"/>
        </w:rPr>
        <w:t>n mejor</w:t>
      </w:r>
      <w:r w:rsidRPr="00C97452">
        <w:rPr>
          <w:rFonts w:ascii="Times New Roman" w:hAnsi="Times New Roman" w:cs="Times New Roman"/>
          <w:sz w:val="24"/>
          <w:szCs w:val="24"/>
        </w:rPr>
        <w:t xml:space="preserve"> las implicaciones de lo que significa “trabajar por lo que quiero”. En el ejercicio de la libertad e independencia se vale equivocarse y arriesgarse al fracaso, concibiendo el vivir como la actividad que se resiste a la rutina y propicia con la experiencia el aprendizaje.</w:t>
      </w:r>
    </w:p>
    <w:p w:rsidR="00554844" w:rsidRPr="00C97452" w:rsidRDefault="00554844"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A otro joven universitario le agradan las condiciones físicas e intelectuales que suelen atribuirse a la </w:t>
      </w:r>
      <w:r w:rsidRPr="00C97452">
        <w:rPr>
          <w:rFonts w:ascii="Times New Roman" w:hAnsi="Times New Roman" w:cs="Times New Roman"/>
          <w:i/>
          <w:sz w:val="24"/>
          <w:szCs w:val="24"/>
        </w:rPr>
        <w:t>juventud</w:t>
      </w:r>
      <w:r w:rsidRPr="00C97452">
        <w:rPr>
          <w:rFonts w:ascii="Times New Roman" w:hAnsi="Times New Roman" w:cs="Times New Roman"/>
          <w:sz w:val="24"/>
          <w:szCs w:val="24"/>
        </w:rPr>
        <w:t xml:space="preserve">, como también la posibilidad que el horizonte de vida permite imaginar y que ofrece la oportunidad de plantearse metas a corto y largo plazo. Obra en contra una posible discapacidad, la ignorancia, la inexperiencia y la debilidad emocional. </w:t>
      </w:r>
    </w:p>
    <w:p w:rsidR="00554844" w:rsidRPr="00C97452" w:rsidRDefault="00554844"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La experiencia con las y los adolescentes ofreció un discurso distinto, </w:t>
      </w:r>
      <w:r w:rsidR="003778FF" w:rsidRPr="00C97452">
        <w:rPr>
          <w:rFonts w:ascii="Times New Roman" w:hAnsi="Times New Roman" w:cs="Times New Roman"/>
          <w:sz w:val="24"/>
          <w:szCs w:val="24"/>
        </w:rPr>
        <w:t>pero</w:t>
      </w:r>
      <w:r w:rsidRPr="00C97452">
        <w:rPr>
          <w:rFonts w:ascii="Times New Roman" w:hAnsi="Times New Roman" w:cs="Times New Roman"/>
          <w:sz w:val="24"/>
          <w:szCs w:val="24"/>
        </w:rPr>
        <w:t xml:space="preserve"> no ajeno a las preocupaciones hasta aquí señaladas. Destacan las connotaciones de carácter sexual, la tensión entre hombres y mujeres, el lenguaje violento en las y los participantes con énfasis en la subordinación de las mujeres. Se declaran también por el acceso a derechos fundamentales como tener padres, educación, alimentación y salud. Incluso haciendo del futuro un presente al incluir el derecho al trabajo. Para recabar sus opiniones se utilizaron dos estrategias grupales. En la primera se utilizó la técnica del navío, pidiéndoles que en cada ocasión que les correspondiera el turno de participar mencionaran en las sucesivas </w:t>
      </w:r>
      <w:r w:rsidRPr="00C97452">
        <w:rPr>
          <w:rFonts w:ascii="Times New Roman" w:hAnsi="Times New Roman" w:cs="Times New Roman"/>
          <w:sz w:val="24"/>
          <w:szCs w:val="24"/>
        </w:rPr>
        <w:lastRenderedPageBreak/>
        <w:t>rondas a qué tenían derecho o bien cuáles eran sus responsabilidades. Los participantes podían preguntar libremente por derechos o responsabilidades.</w:t>
      </w:r>
    </w:p>
    <w:p w:rsidR="00554844" w:rsidRPr="00C97452" w:rsidRDefault="00554844"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La identificación de derechos se podría clasificar en tres dominios centrales. En el primero, se contempla</w:t>
      </w:r>
      <w:r w:rsidR="00A14818" w:rsidRPr="00C97452">
        <w:rPr>
          <w:rFonts w:ascii="Times New Roman" w:hAnsi="Times New Roman" w:cs="Times New Roman"/>
          <w:sz w:val="24"/>
          <w:szCs w:val="24"/>
        </w:rPr>
        <w:t>n</w:t>
      </w:r>
      <w:r w:rsidRPr="00C97452">
        <w:rPr>
          <w:rFonts w:ascii="Times New Roman" w:hAnsi="Times New Roman" w:cs="Times New Roman"/>
          <w:sz w:val="24"/>
          <w:szCs w:val="24"/>
        </w:rPr>
        <w:t xml:space="preserve"> al menos cuatro fundamentales en el contexto juarense: el derecho a la vida, a una familia, a un hogar y a tener padres. En el segundo, el acceso a alimentación, salud, vestido, educación, diversión y trabajo, expresan demandas sociales insatisfechas en la localidad. En el tercero, se incluyen los llamados a diversas libertades: de expresión, religión, sexual, tener pareja y privacidad. Como se puede observar, derechos que usualmente se podrían asociar a la experiencia de la adultez, son incorporados a los derechos fundamentales que no distinguen en su ejercicio edad, raza o sexo. Que se les mencione entre las y los adolescentes habla de su visión de futuro, </w:t>
      </w:r>
      <w:r w:rsidR="00A14818" w:rsidRPr="00C97452">
        <w:rPr>
          <w:rFonts w:ascii="Times New Roman" w:hAnsi="Times New Roman" w:cs="Times New Roman"/>
          <w:sz w:val="24"/>
          <w:szCs w:val="24"/>
        </w:rPr>
        <w:t>pero</w:t>
      </w:r>
      <w:r w:rsidRPr="00C97452">
        <w:rPr>
          <w:rFonts w:ascii="Times New Roman" w:hAnsi="Times New Roman" w:cs="Times New Roman"/>
          <w:sz w:val="24"/>
          <w:szCs w:val="24"/>
        </w:rPr>
        <w:t xml:space="preserve"> también y de manera relevante de lo que observan en su experiencia cotidiana. Un ejemplo de su condición de estudiantes: el derecho a presentar examen.</w:t>
      </w:r>
    </w:p>
    <w:p w:rsidR="00554844" w:rsidRPr="00C97452" w:rsidRDefault="00554844" w:rsidP="00C97452">
      <w:pPr>
        <w:spacing w:after="0" w:line="360" w:lineRule="auto"/>
        <w:jc w:val="both"/>
        <w:rPr>
          <w:rFonts w:ascii="Times New Roman" w:hAnsi="Times New Roman" w:cs="Times New Roman"/>
          <w:sz w:val="24"/>
          <w:szCs w:val="24"/>
        </w:rPr>
      </w:pPr>
    </w:p>
    <w:p w:rsidR="003749A5" w:rsidRPr="00C97452" w:rsidRDefault="002A56C7"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S</w:t>
      </w:r>
      <w:r w:rsidR="003749A5" w:rsidRPr="00C97452">
        <w:rPr>
          <w:rFonts w:ascii="Times New Roman" w:hAnsi="Times New Roman" w:cs="Times New Roman"/>
          <w:sz w:val="24"/>
          <w:szCs w:val="24"/>
        </w:rPr>
        <w:t>e refuerza la influencia de su condición de estudiantes en la identificación de sus obligaciones: asistir a la escuela, puntualidad, ser ordenado, cumplir con tareas, respetar reglas, tener buenas calificaciones y no zorreársela</w:t>
      </w:r>
      <w:r w:rsidR="00A14818" w:rsidRPr="00C97452">
        <w:rPr>
          <w:rFonts w:ascii="Times New Roman" w:hAnsi="Times New Roman" w:cs="Times New Roman"/>
          <w:sz w:val="24"/>
          <w:szCs w:val="24"/>
        </w:rPr>
        <w:t>,</w:t>
      </w:r>
      <w:r w:rsidR="003749A5" w:rsidRPr="00C97452">
        <w:rPr>
          <w:rStyle w:val="Refdenotaalpie"/>
          <w:rFonts w:ascii="Times New Roman" w:hAnsi="Times New Roman" w:cs="Times New Roman"/>
          <w:sz w:val="24"/>
          <w:szCs w:val="24"/>
        </w:rPr>
        <w:footnoteReference w:id="2"/>
      </w:r>
      <w:r w:rsidR="003749A5" w:rsidRPr="00C97452">
        <w:rPr>
          <w:rFonts w:ascii="Times New Roman" w:hAnsi="Times New Roman" w:cs="Times New Roman"/>
          <w:sz w:val="24"/>
          <w:szCs w:val="24"/>
        </w:rPr>
        <w:t xml:space="preserve"> entre otras más. Es decir: orden, reglas y cumplimiento de sus preceptos predominan ampliamente su concepción de sus obligaciones, </w:t>
      </w:r>
      <w:r w:rsidR="00A14818" w:rsidRPr="00C97452">
        <w:rPr>
          <w:rFonts w:ascii="Times New Roman" w:hAnsi="Times New Roman" w:cs="Times New Roman"/>
          <w:sz w:val="24"/>
          <w:szCs w:val="24"/>
        </w:rPr>
        <w:t>e</w:t>
      </w:r>
      <w:r w:rsidR="003749A5" w:rsidRPr="00C97452">
        <w:rPr>
          <w:rFonts w:ascii="Times New Roman" w:hAnsi="Times New Roman" w:cs="Times New Roman"/>
          <w:sz w:val="24"/>
          <w:szCs w:val="24"/>
        </w:rPr>
        <w:t xml:space="preserve">stas son tales porque no hay opción. El incumplimiento genera conflictos asociados al riesgo siempre presente de ser sujetos de una amplia gama de sanciones posibles. Tres obligaciones se distinguen al estar relacionadas con la salud preventiva: higiene personal, alejarse de las drogas y usar condón, </w:t>
      </w:r>
      <w:r w:rsidR="00A14818" w:rsidRPr="00C97452">
        <w:rPr>
          <w:rFonts w:ascii="Times New Roman" w:hAnsi="Times New Roman" w:cs="Times New Roman"/>
          <w:sz w:val="24"/>
          <w:szCs w:val="24"/>
        </w:rPr>
        <w:t>e</w:t>
      </w:r>
      <w:r w:rsidR="003749A5" w:rsidRPr="00C97452">
        <w:rPr>
          <w:rFonts w:ascii="Times New Roman" w:hAnsi="Times New Roman" w:cs="Times New Roman"/>
          <w:sz w:val="24"/>
          <w:szCs w:val="24"/>
        </w:rPr>
        <w:t xml:space="preserve">sta última particularmente podría referirse a actividades escolares de información preventiva en materia de sexualidad, no obstante como se muestra a continuación, parece estar más relacionada con un discurso con fuerte contenido sexual presente en este grupo de población, situación que advirtieron también en una experiencia previa Pacheco y </w:t>
      </w:r>
      <w:r w:rsidR="003D21DD" w:rsidRPr="00C97452">
        <w:rPr>
          <w:rFonts w:ascii="Times New Roman" w:hAnsi="Times New Roman" w:cs="Times New Roman"/>
          <w:sz w:val="24"/>
          <w:szCs w:val="24"/>
        </w:rPr>
        <w:t>otras</w:t>
      </w:r>
      <w:r w:rsidR="003749A5" w:rsidRPr="00C97452">
        <w:rPr>
          <w:rFonts w:ascii="Times New Roman" w:hAnsi="Times New Roman" w:cs="Times New Roman"/>
          <w:sz w:val="24"/>
          <w:szCs w:val="24"/>
        </w:rPr>
        <w:t xml:space="preserve"> (2010). </w:t>
      </w:r>
    </w:p>
    <w:p w:rsidR="00554844" w:rsidRPr="00C97452" w:rsidRDefault="00554844"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lastRenderedPageBreak/>
        <w:t>Con la finalidad de ahondar en la concepción de derechos y responsabilidades de hombres y mujeres, se organizaron tres grupos: uno mixto, un</w:t>
      </w:r>
      <w:r w:rsidR="00A14818" w:rsidRPr="00C97452">
        <w:rPr>
          <w:rFonts w:ascii="Times New Roman" w:hAnsi="Times New Roman" w:cs="Times New Roman"/>
          <w:sz w:val="24"/>
          <w:szCs w:val="24"/>
        </w:rPr>
        <w:t>o</w:t>
      </w:r>
      <w:r w:rsidRPr="00C97452">
        <w:rPr>
          <w:rFonts w:ascii="Times New Roman" w:hAnsi="Times New Roman" w:cs="Times New Roman"/>
          <w:sz w:val="24"/>
          <w:szCs w:val="24"/>
        </w:rPr>
        <w:t xml:space="preserve"> integrado s</w:t>
      </w:r>
      <w:r w:rsidR="00A14818" w:rsidRPr="00C97452">
        <w:rPr>
          <w:rFonts w:ascii="Times New Roman" w:hAnsi="Times New Roman" w:cs="Times New Roman"/>
          <w:sz w:val="24"/>
          <w:szCs w:val="24"/>
        </w:rPr>
        <w:t>o</w:t>
      </w:r>
      <w:r w:rsidRPr="00C97452">
        <w:rPr>
          <w:rFonts w:ascii="Times New Roman" w:hAnsi="Times New Roman" w:cs="Times New Roman"/>
          <w:sz w:val="24"/>
          <w:szCs w:val="24"/>
        </w:rPr>
        <w:t>lo por hombres y otro s</w:t>
      </w:r>
      <w:r w:rsidR="00A14818" w:rsidRPr="00C97452">
        <w:rPr>
          <w:rFonts w:ascii="Times New Roman" w:hAnsi="Times New Roman" w:cs="Times New Roman"/>
          <w:sz w:val="24"/>
          <w:szCs w:val="24"/>
        </w:rPr>
        <w:t>o</w:t>
      </w:r>
      <w:r w:rsidRPr="00C97452">
        <w:rPr>
          <w:rFonts w:ascii="Times New Roman" w:hAnsi="Times New Roman" w:cs="Times New Roman"/>
          <w:sz w:val="24"/>
          <w:szCs w:val="24"/>
        </w:rPr>
        <w:t xml:space="preserve">lo </w:t>
      </w:r>
      <w:r w:rsidR="00A14818" w:rsidRPr="00C97452">
        <w:rPr>
          <w:rFonts w:ascii="Times New Roman" w:hAnsi="Times New Roman" w:cs="Times New Roman"/>
          <w:sz w:val="24"/>
          <w:szCs w:val="24"/>
        </w:rPr>
        <w:t>por</w:t>
      </w:r>
      <w:r w:rsidRPr="00C97452">
        <w:rPr>
          <w:rFonts w:ascii="Times New Roman" w:hAnsi="Times New Roman" w:cs="Times New Roman"/>
          <w:sz w:val="24"/>
          <w:szCs w:val="24"/>
        </w:rPr>
        <w:t xml:space="preserve"> mujeres. Se les pidió que expresaran cuáles eran los derechos y cuáles las responsabilidades de hombres y mujeres. En el grupo mixto, los estereotipos de género y las referencias sexuales son dominantes tanto al hablar de derechos como de responsabilidades. Es de hacer notar el posicionamiento que se insinúa al hablar de los derechos de las mujeres: vestirse como se quiere, divertirse, ser respetadas y no ser presionadas con relación al ejercicio de su sexualidad. Con relación a este último, la responsabilidad de cuidarse ofrece al menos dos lecturas: ejercer su sexualidad responsablemente o</w:t>
      </w:r>
      <w:r w:rsidR="00A14818" w:rsidRPr="00C97452">
        <w:rPr>
          <w:rFonts w:ascii="Times New Roman" w:hAnsi="Times New Roman" w:cs="Times New Roman"/>
          <w:sz w:val="24"/>
          <w:szCs w:val="24"/>
        </w:rPr>
        <w:t>,</w:t>
      </w:r>
      <w:r w:rsidRPr="00C97452">
        <w:rPr>
          <w:rFonts w:ascii="Times New Roman" w:hAnsi="Times New Roman" w:cs="Times New Roman"/>
          <w:sz w:val="24"/>
          <w:szCs w:val="24"/>
        </w:rPr>
        <w:t xml:space="preserve"> bien, no suponer que el otro sea cuidadoso y responsable. En el caso de los hombres, su mención a la idea de compartir labores de cuidado de los menores y del hogar, ofrecen una nueva injerencia del mundo adulto</w:t>
      </w:r>
      <w:r w:rsidR="00A14818" w:rsidRPr="00C97452">
        <w:rPr>
          <w:rFonts w:ascii="Times New Roman" w:hAnsi="Times New Roman" w:cs="Times New Roman"/>
          <w:sz w:val="24"/>
          <w:szCs w:val="24"/>
        </w:rPr>
        <w:t xml:space="preserve">, </w:t>
      </w:r>
      <w:r w:rsidRPr="00C97452">
        <w:rPr>
          <w:rFonts w:ascii="Times New Roman" w:hAnsi="Times New Roman" w:cs="Times New Roman"/>
          <w:sz w:val="24"/>
          <w:szCs w:val="24"/>
        </w:rPr>
        <w:t xml:space="preserve">que pareciera no ser para algunos(as) muy lejano. </w:t>
      </w:r>
    </w:p>
    <w:p w:rsidR="00554844" w:rsidRPr="00C97452" w:rsidRDefault="00554844" w:rsidP="00C97452">
      <w:pPr>
        <w:spacing w:after="0" w:line="360" w:lineRule="auto"/>
        <w:jc w:val="both"/>
        <w:rPr>
          <w:rFonts w:ascii="Times New Roman" w:hAnsi="Times New Roman" w:cs="Times New Roman"/>
          <w:sz w:val="24"/>
          <w:szCs w:val="24"/>
        </w:rPr>
      </w:pPr>
    </w:p>
    <w:p w:rsidR="003749A5" w:rsidRPr="00C97452" w:rsidRDefault="003749A5" w:rsidP="00C97452">
      <w:pPr>
        <w:spacing w:after="0" w:line="360" w:lineRule="auto"/>
        <w:jc w:val="both"/>
        <w:rPr>
          <w:rFonts w:ascii="Times New Roman" w:hAnsi="Times New Roman" w:cs="Times New Roman"/>
          <w:sz w:val="24"/>
          <w:szCs w:val="24"/>
          <w:lang w:val="es-MX"/>
        </w:rPr>
      </w:pPr>
      <w:r w:rsidRPr="00C97452">
        <w:rPr>
          <w:rFonts w:ascii="Times New Roman" w:hAnsi="Times New Roman" w:cs="Times New Roman"/>
          <w:sz w:val="24"/>
          <w:szCs w:val="24"/>
          <w:lang w:val="es-MX"/>
        </w:rPr>
        <w:t xml:space="preserve">En el grupo de hombres, las referencias sexuales y la subordinación de las mujeres a patrones esencialistas y sexistas, se aúnan a derechos fundamentales y beneficios derivados de un posicionamiento dominante por parte de los varones. Así, las mujeres tienen el derecho de ejercer una amplia habilidad en el ejercicio de su sexualidad en beneficio de estos hombres, que se disponen a ser respetados, atendidos y alimentados por las responsables y trabajadoras mujeres. Esta última característica es para las mujeres, por si fuera menester precisar, su derecho y su responsabilidad. Los hombres tienen identificadas sus responsabilidades en los </w:t>
      </w:r>
      <w:r w:rsidRPr="00C97452">
        <w:rPr>
          <w:rFonts w:ascii="Times New Roman" w:hAnsi="Times New Roman" w:cs="Times New Roman"/>
          <w:sz w:val="24"/>
          <w:szCs w:val="24"/>
        </w:rPr>
        <w:t>ámbitos</w:t>
      </w:r>
      <w:r w:rsidRPr="00C97452">
        <w:rPr>
          <w:rFonts w:ascii="Times New Roman" w:hAnsi="Times New Roman" w:cs="Times New Roman"/>
          <w:sz w:val="24"/>
          <w:szCs w:val="24"/>
          <w:lang w:val="es-MX"/>
        </w:rPr>
        <w:t xml:space="preserve"> de la escuela, el trabajo, la casa y su cuerpo. Sus derechos, además de los </w:t>
      </w:r>
      <w:r w:rsidRPr="00C97452">
        <w:rPr>
          <w:rFonts w:ascii="Times New Roman" w:hAnsi="Times New Roman" w:cs="Times New Roman"/>
          <w:i/>
          <w:sz w:val="24"/>
          <w:szCs w:val="24"/>
          <w:lang w:val="es-MX"/>
        </w:rPr>
        <w:t>beneficios</w:t>
      </w:r>
      <w:r w:rsidRPr="00C97452">
        <w:rPr>
          <w:rFonts w:ascii="Times New Roman" w:hAnsi="Times New Roman" w:cs="Times New Roman"/>
          <w:sz w:val="24"/>
          <w:szCs w:val="24"/>
          <w:lang w:val="es-MX"/>
        </w:rPr>
        <w:t xml:space="preserve"> indicados, se enuncian desde el </w:t>
      </w:r>
      <w:r w:rsidRPr="00C97452">
        <w:rPr>
          <w:rFonts w:ascii="Times New Roman" w:hAnsi="Times New Roman" w:cs="Times New Roman"/>
          <w:i/>
          <w:sz w:val="24"/>
          <w:szCs w:val="24"/>
          <w:lang w:val="es-MX"/>
        </w:rPr>
        <w:t>tener</w:t>
      </w:r>
      <w:r w:rsidRPr="00C97452">
        <w:rPr>
          <w:rFonts w:ascii="Times New Roman" w:hAnsi="Times New Roman" w:cs="Times New Roman"/>
          <w:sz w:val="24"/>
          <w:szCs w:val="24"/>
          <w:lang w:val="es-MX"/>
        </w:rPr>
        <w:t xml:space="preserve"> y la libertad para </w:t>
      </w:r>
      <w:r w:rsidRPr="00C97452">
        <w:rPr>
          <w:rFonts w:ascii="Times New Roman" w:hAnsi="Times New Roman" w:cs="Times New Roman"/>
          <w:i/>
          <w:sz w:val="24"/>
          <w:szCs w:val="24"/>
          <w:lang w:val="es-MX"/>
        </w:rPr>
        <w:t>hacer</w:t>
      </w:r>
      <w:r w:rsidRPr="00C97452">
        <w:rPr>
          <w:rFonts w:ascii="Times New Roman" w:hAnsi="Times New Roman" w:cs="Times New Roman"/>
          <w:sz w:val="24"/>
          <w:szCs w:val="24"/>
          <w:lang w:val="es-MX"/>
        </w:rPr>
        <w:t xml:space="preserve">, el hedonismo parece ser dominante: comer, dormir, sexo y diversión son algunas de sus expresiones. No es posible precisar si en ello reside la felicidad a que hacen referencia, junto con los derechos a convivir, la privacidad, la educación y el respeto. Sus responsabilidades, como se indicó, involucran diversos ambientes y </w:t>
      </w:r>
      <w:r w:rsidR="00A14818" w:rsidRPr="00C97452">
        <w:rPr>
          <w:rFonts w:ascii="Times New Roman" w:hAnsi="Times New Roman" w:cs="Times New Roman"/>
          <w:sz w:val="24"/>
          <w:szCs w:val="24"/>
          <w:lang w:val="es-MX"/>
        </w:rPr>
        <w:t>e</w:t>
      </w:r>
      <w:r w:rsidRPr="00C97452">
        <w:rPr>
          <w:rFonts w:ascii="Times New Roman" w:hAnsi="Times New Roman" w:cs="Times New Roman"/>
          <w:sz w:val="24"/>
          <w:szCs w:val="24"/>
          <w:lang w:val="es-MX"/>
        </w:rPr>
        <w:t>stos, se deduce, plantean sus propias exigencias, descentrando al individuo como de su propia satisfacción.</w:t>
      </w:r>
    </w:p>
    <w:p w:rsidR="00554844" w:rsidRPr="00C97452" w:rsidRDefault="00554844" w:rsidP="00C97452">
      <w:pPr>
        <w:spacing w:after="0" w:line="360" w:lineRule="auto"/>
        <w:jc w:val="both"/>
        <w:rPr>
          <w:rFonts w:ascii="Times New Roman" w:hAnsi="Times New Roman" w:cs="Times New Roman"/>
          <w:sz w:val="24"/>
          <w:szCs w:val="24"/>
          <w:lang w:val="es-MX"/>
        </w:rPr>
      </w:pPr>
    </w:p>
    <w:p w:rsidR="003749A5" w:rsidRPr="00C97452" w:rsidRDefault="003749A5" w:rsidP="00C97452">
      <w:pPr>
        <w:spacing w:after="0" w:line="360" w:lineRule="auto"/>
        <w:jc w:val="both"/>
        <w:rPr>
          <w:rFonts w:ascii="Times New Roman" w:hAnsi="Times New Roman" w:cs="Times New Roman"/>
          <w:sz w:val="24"/>
          <w:szCs w:val="24"/>
        </w:rPr>
      </w:pPr>
      <w:r w:rsidRPr="00C97452">
        <w:rPr>
          <w:rFonts w:ascii="Times New Roman" w:hAnsi="Times New Roman" w:cs="Times New Roman"/>
          <w:sz w:val="24"/>
          <w:szCs w:val="24"/>
        </w:rPr>
        <w:t xml:space="preserve">Por su parte, las mujeres reiteran responsabilidades tradicionalmente atribuidas a hombres y mujeres. En sus derechos se presenta el </w:t>
      </w:r>
      <w:r w:rsidRPr="00C97452">
        <w:rPr>
          <w:rFonts w:ascii="Times New Roman" w:hAnsi="Times New Roman" w:cs="Times New Roman"/>
          <w:i/>
          <w:sz w:val="24"/>
          <w:szCs w:val="24"/>
        </w:rPr>
        <w:t xml:space="preserve">tener </w:t>
      </w:r>
      <w:r w:rsidRPr="00C97452">
        <w:rPr>
          <w:rFonts w:ascii="Times New Roman" w:hAnsi="Times New Roman" w:cs="Times New Roman"/>
          <w:sz w:val="24"/>
          <w:szCs w:val="24"/>
        </w:rPr>
        <w:t xml:space="preserve">familia, hogar, novios y nombre propio, así </w:t>
      </w:r>
      <w:r w:rsidRPr="00C97452">
        <w:rPr>
          <w:rFonts w:ascii="Times New Roman" w:hAnsi="Times New Roman" w:cs="Times New Roman"/>
          <w:sz w:val="24"/>
          <w:szCs w:val="24"/>
        </w:rPr>
        <w:lastRenderedPageBreak/>
        <w:t xml:space="preserve">como el </w:t>
      </w:r>
      <w:r w:rsidRPr="00C97452">
        <w:rPr>
          <w:rFonts w:ascii="Times New Roman" w:hAnsi="Times New Roman" w:cs="Times New Roman"/>
          <w:i/>
          <w:sz w:val="24"/>
          <w:szCs w:val="24"/>
        </w:rPr>
        <w:t>acceso</w:t>
      </w:r>
      <w:r w:rsidRPr="00C97452">
        <w:rPr>
          <w:rFonts w:ascii="Times New Roman" w:hAnsi="Times New Roman" w:cs="Times New Roman"/>
          <w:sz w:val="24"/>
          <w:szCs w:val="24"/>
        </w:rPr>
        <w:t xml:space="preserve"> a la libertad, la privacidad y la vida. Su afirmación manifiesta consiste en ser amadas y respetadas. Esto no pareciera aplicar para otras mujeres: las suegras, que representan para la mayoría de ellas, aunque no lo perciban en ese momento, su probable posición en el arreglo familiar futuro. Ser mantenidas y tener sirvienta son derechos que reiteran posiciones diferenciadas entre varones y mujeres, </w:t>
      </w:r>
      <w:r w:rsidR="00A14818" w:rsidRPr="00C97452">
        <w:rPr>
          <w:rFonts w:ascii="Times New Roman" w:hAnsi="Times New Roman" w:cs="Times New Roman"/>
          <w:sz w:val="24"/>
          <w:szCs w:val="24"/>
        </w:rPr>
        <w:t xml:space="preserve">y </w:t>
      </w:r>
      <w:r w:rsidRPr="00C97452">
        <w:rPr>
          <w:rFonts w:ascii="Times New Roman" w:hAnsi="Times New Roman" w:cs="Times New Roman"/>
          <w:sz w:val="24"/>
          <w:szCs w:val="24"/>
        </w:rPr>
        <w:t xml:space="preserve">no obstante identificar como su derecho el trabajo. Estas expresiones no son generalizables y deben ser tomadas considerando el contexto en que se produjo la interacción, así como la mutua influencia entre las y los participantes. No obstante, resulta sintomático que en la sesión colectiva posterior a estos ejercicios y ante la manifiesta ignorancia que </w:t>
      </w:r>
      <w:r w:rsidR="002A56C7" w:rsidRPr="00C97452">
        <w:rPr>
          <w:rFonts w:ascii="Times New Roman" w:hAnsi="Times New Roman" w:cs="Times New Roman"/>
          <w:sz w:val="24"/>
          <w:szCs w:val="24"/>
        </w:rPr>
        <w:t xml:space="preserve">el investigador </w:t>
      </w:r>
      <w:r w:rsidRPr="00C97452">
        <w:rPr>
          <w:rFonts w:ascii="Times New Roman" w:hAnsi="Times New Roman" w:cs="Times New Roman"/>
          <w:sz w:val="24"/>
          <w:szCs w:val="24"/>
        </w:rPr>
        <w:t>tenía del uso de algunas de las expresiones utilizadas para hacer referencia a las prácticas sexuales, fuesen las mujeres quienes se apresuraran a definirlas y explicarlas. Es decir, expresa un discurso común que forma parte de la experiencia de comunicación que ejercen entre sí hombres y mujeres. No se juzga ni presupone que estas expresiones aludan a prácticas que efectivamente realicen las y los adolescentes, lo que sí parece indicar es una sobreexposición a mensajes que hacen referencia directa al ejercicio de la sexualidad y que su acceso está siendo facilitado y/o permitido.</w:t>
      </w:r>
    </w:p>
    <w:p w:rsidR="00A14818" w:rsidRPr="00C97452" w:rsidRDefault="00A14818" w:rsidP="00C97452">
      <w:pPr>
        <w:spacing w:after="0" w:line="360" w:lineRule="auto"/>
        <w:jc w:val="both"/>
        <w:rPr>
          <w:rFonts w:ascii="Times New Roman" w:hAnsi="Times New Roman" w:cs="Times New Roman"/>
          <w:sz w:val="24"/>
          <w:szCs w:val="24"/>
        </w:rPr>
      </w:pPr>
    </w:p>
    <w:p w:rsidR="003749A5" w:rsidRPr="00C97452" w:rsidRDefault="00A72253" w:rsidP="00C97452">
      <w:pPr>
        <w:spacing w:after="0" w:line="360" w:lineRule="auto"/>
        <w:jc w:val="both"/>
        <w:rPr>
          <w:rFonts w:ascii="Times New Roman" w:hAnsi="Times New Roman" w:cs="Times New Roman"/>
          <w:b/>
          <w:sz w:val="24"/>
          <w:szCs w:val="24"/>
        </w:rPr>
      </w:pPr>
      <w:r w:rsidRPr="00C97452">
        <w:rPr>
          <w:rFonts w:ascii="Times New Roman" w:hAnsi="Times New Roman" w:cs="Times New Roman"/>
          <w:b/>
          <w:sz w:val="24"/>
          <w:szCs w:val="24"/>
        </w:rPr>
        <w:t xml:space="preserve">4. </w:t>
      </w:r>
      <w:r w:rsidR="00C97452" w:rsidRPr="00C97452">
        <w:rPr>
          <w:rFonts w:ascii="Times New Roman" w:hAnsi="Times New Roman" w:cs="Times New Roman"/>
          <w:b/>
          <w:sz w:val="24"/>
          <w:szCs w:val="24"/>
        </w:rPr>
        <w:t>Conclusión</w:t>
      </w:r>
    </w:p>
    <w:p w:rsidR="002A56C7" w:rsidRPr="00FE7C68" w:rsidRDefault="00925AD4" w:rsidP="00C97452">
      <w:pPr>
        <w:spacing w:after="0" w:line="360" w:lineRule="auto"/>
        <w:jc w:val="both"/>
        <w:rPr>
          <w:rFonts w:ascii="Arial" w:hAnsi="Arial" w:cs="Arial"/>
          <w:sz w:val="24"/>
          <w:szCs w:val="24"/>
        </w:rPr>
      </w:pPr>
      <w:r w:rsidRPr="00C97452">
        <w:rPr>
          <w:rFonts w:ascii="Times New Roman" w:hAnsi="Times New Roman" w:cs="Times New Roman"/>
          <w:sz w:val="24"/>
          <w:szCs w:val="24"/>
        </w:rPr>
        <w:t>Como se puede observar, la posición que se ocupa en el arreglo social, las características del medio en que se desenvuelven las interacciones y el contexto socioeconómico en el que se producen estereotipos e imaginarios, delinean las pautas que guían la participación de las y los jóvenes en la construcción de ciudadanía. La reiteración de mandatos de género donde los varones se muestran dominantes, receptores de beneficios y a regañadientes responsables de algunas labores de cuidado; el reconocimiento y disfrute del vigor, la belleza y las ventajas de no ser adulto se complejizan y contradicen con las demandas de reconocimiento. La certidumbre de situarse en condiciones de riesgo y ser situados como grupo de riesgo, problematizan la participación ciudadana y la construcción de una ciudadanía fincada en el compromiso mutuo.</w:t>
      </w:r>
    </w:p>
    <w:p w:rsidR="00840A36" w:rsidRDefault="00840A36" w:rsidP="003749A5">
      <w:pPr>
        <w:rPr>
          <w:rFonts w:ascii="Arial" w:hAnsi="Arial" w:cs="Arial"/>
          <w:sz w:val="24"/>
          <w:szCs w:val="24"/>
        </w:rPr>
      </w:pPr>
    </w:p>
    <w:p w:rsidR="00C97452" w:rsidRDefault="00C97452" w:rsidP="00C97452">
      <w:pPr>
        <w:spacing w:after="0" w:line="240" w:lineRule="auto"/>
        <w:jc w:val="both"/>
        <w:rPr>
          <w:rFonts w:ascii="Calibri" w:eastAsia="MS Mincho" w:hAnsi="Calibri" w:cs="Calibri"/>
          <w:color w:val="7030A0"/>
          <w:sz w:val="28"/>
          <w:szCs w:val="28"/>
          <w:lang w:val="es-ES" w:eastAsia="ja-JP"/>
        </w:rPr>
      </w:pPr>
    </w:p>
    <w:p w:rsidR="00C97452" w:rsidRDefault="00C97452" w:rsidP="00C97452">
      <w:pPr>
        <w:spacing w:after="0" w:line="240" w:lineRule="auto"/>
        <w:jc w:val="both"/>
        <w:rPr>
          <w:rFonts w:ascii="Calibri" w:eastAsia="MS Mincho" w:hAnsi="Calibri" w:cs="Calibri"/>
          <w:color w:val="7030A0"/>
          <w:sz w:val="28"/>
          <w:szCs w:val="28"/>
          <w:lang w:val="es-ES" w:eastAsia="ja-JP"/>
        </w:rPr>
      </w:pPr>
    </w:p>
    <w:p w:rsidR="002A56C7" w:rsidRPr="00A07E2B" w:rsidRDefault="00C97452" w:rsidP="00C97452">
      <w:pPr>
        <w:spacing w:after="0" w:line="240" w:lineRule="auto"/>
        <w:jc w:val="both"/>
        <w:rPr>
          <w:rFonts w:ascii="Arial" w:hAnsi="Arial" w:cs="Arial"/>
          <w:b/>
          <w:sz w:val="24"/>
          <w:szCs w:val="24"/>
        </w:rPr>
      </w:pPr>
      <w:r>
        <w:rPr>
          <w:rFonts w:ascii="Calibri" w:eastAsia="MS Mincho" w:hAnsi="Calibri" w:cs="Calibri"/>
          <w:color w:val="7030A0"/>
          <w:sz w:val="28"/>
          <w:szCs w:val="28"/>
          <w:lang w:val="es-ES" w:eastAsia="ja-JP"/>
        </w:rPr>
        <w:lastRenderedPageBreak/>
        <w:t>Bibliografía</w:t>
      </w:r>
    </w:p>
    <w:p w:rsidR="001145EB" w:rsidRPr="00C97452" w:rsidRDefault="001145EB"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Balderas Domínguez, Jorge</w:t>
      </w:r>
      <w:r w:rsidR="00974712" w:rsidRPr="00C97452">
        <w:rPr>
          <w:rFonts w:ascii="Times New Roman" w:eastAsia="Calibri" w:hAnsi="Times New Roman" w:cs="Times New Roman"/>
          <w:sz w:val="24"/>
          <w:szCs w:val="24"/>
          <w:lang w:val="es-MX"/>
        </w:rPr>
        <w:t xml:space="preserve"> (1999)</w:t>
      </w:r>
      <w:r w:rsidRPr="00C97452">
        <w:rPr>
          <w:rFonts w:ascii="Times New Roman" w:eastAsia="Calibri" w:hAnsi="Times New Roman" w:cs="Times New Roman"/>
          <w:sz w:val="24"/>
          <w:szCs w:val="24"/>
          <w:lang w:val="es-MX"/>
        </w:rPr>
        <w:t>. El estigma a la operadora de maquila: el uso de su tiempo libre y la nocturnidad juarense. México: Universidad Autónoma de Ciudad Juárez.</w:t>
      </w:r>
    </w:p>
    <w:p w:rsidR="00136F53" w:rsidRPr="00C97452" w:rsidRDefault="00136F53"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 xml:space="preserve">Borges, </w:t>
      </w:r>
      <w:proofErr w:type="spellStart"/>
      <w:r w:rsidRPr="00C97452">
        <w:rPr>
          <w:rFonts w:ascii="Times New Roman" w:eastAsia="Calibri" w:hAnsi="Times New Roman" w:cs="Times New Roman"/>
          <w:sz w:val="24"/>
          <w:szCs w:val="24"/>
          <w:lang w:val="es-MX"/>
        </w:rPr>
        <w:t>Guilherme</w:t>
      </w:r>
      <w:proofErr w:type="spellEnd"/>
      <w:r w:rsidRPr="00C97452">
        <w:rPr>
          <w:rFonts w:ascii="Times New Roman" w:eastAsia="Calibri" w:hAnsi="Times New Roman" w:cs="Times New Roman"/>
          <w:sz w:val="24"/>
          <w:szCs w:val="24"/>
          <w:lang w:val="es-MX"/>
        </w:rPr>
        <w:t xml:space="preserve">; Orozco, Ricardo; </w:t>
      </w:r>
      <w:proofErr w:type="spellStart"/>
      <w:r w:rsidRPr="00C97452">
        <w:rPr>
          <w:rFonts w:ascii="Times New Roman" w:eastAsia="Calibri" w:hAnsi="Times New Roman" w:cs="Times New Roman"/>
          <w:sz w:val="24"/>
          <w:szCs w:val="24"/>
          <w:lang w:val="es-MX"/>
        </w:rPr>
        <w:t>Benjet</w:t>
      </w:r>
      <w:proofErr w:type="spellEnd"/>
      <w:r w:rsidRPr="00C97452">
        <w:rPr>
          <w:rFonts w:ascii="Times New Roman" w:eastAsia="Calibri" w:hAnsi="Times New Roman" w:cs="Times New Roman"/>
          <w:sz w:val="24"/>
          <w:szCs w:val="24"/>
          <w:lang w:val="es-MX"/>
        </w:rPr>
        <w:t xml:space="preserve">, Corina y Medina-Mora, </w:t>
      </w:r>
      <w:proofErr w:type="spellStart"/>
      <w:r w:rsidRPr="00C97452">
        <w:rPr>
          <w:rFonts w:ascii="Times New Roman" w:eastAsia="Calibri" w:hAnsi="Times New Roman" w:cs="Times New Roman"/>
          <w:sz w:val="24"/>
          <w:szCs w:val="24"/>
          <w:lang w:val="es-MX"/>
        </w:rPr>
        <w:t>Maria</w:t>
      </w:r>
      <w:proofErr w:type="spellEnd"/>
      <w:r w:rsidRPr="00C97452">
        <w:rPr>
          <w:rFonts w:ascii="Times New Roman" w:eastAsia="Calibri" w:hAnsi="Times New Roman" w:cs="Times New Roman"/>
          <w:sz w:val="24"/>
          <w:szCs w:val="24"/>
          <w:lang w:val="es-MX"/>
        </w:rPr>
        <w:t xml:space="preserve"> Elena</w:t>
      </w:r>
      <w:r w:rsidR="00974712" w:rsidRPr="00C97452">
        <w:rPr>
          <w:rFonts w:ascii="Times New Roman" w:eastAsia="Calibri" w:hAnsi="Times New Roman" w:cs="Times New Roman"/>
          <w:sz w:val="24"/>
          <w:szCs w:val="24"/>
          <w:lang w:val="es-MX"/>
        </w:rPr>
        <w:t xml:space="preserve"> (2010)</w:t>
      </w:r>
      <w:r w:rsidRPr="00C97452">
        <w:rPr>
          <w:rFonts w:ascii="Times New Roman" w:eastAsia="Calibri" w:hAnsi="Times New Roman" w:cs="Times New Roman"/>
          <w:sz w:val="24"/>
          <w:szCs w:val="24"/>
          <w:lang w:val="es-MX"/>
        </w:rPr>
        <w:t>.</w:t>
      </w:r>
      <w:r w:rsidR="00974712" w:rsidRPr="00C97452">
        <w:rPr>
          <w:rFonts w:ascii="Times New Roman" w:eastAsia="Calibri" w:hAnsi="Times New Roman" w:cs="Times New Roman"/>
          <w:sz w:val="24"/>
          <w:szCs w:val="24"/>
          <w:lang w:val="es-MX"/>
        </w:rPr>
        <w:t xml:space="preserve"> </w:t>
      </w:r>
      <w:r w:rsidRPr="00C97452">
        <w:rPr>
          <w:rFonts w:ascii="Times New Roman" w:eastAsia="Calibri" w:hAnsi="Times New Roman" w:cs="Times New Roman"/>
          <w:sz w:val="24"/>
          <w:szCs w:val="24"/>
          <w:lang w:val="es-MX"/>
        </w:rPr>
        <w:t>Suicidio y conductas suicidas en México: retrospectiva y situación actual. Salud Pública de México. Vol. 52, Núm. 4, julio-agosto de 2010, pp. 292-304.</w:t>
      </w:r>
    </w:p>
    <w:p w:rsidR="00717F78" w:rsidRPr="00C97452" w:rsidRDefault="00717F78" w:rsidP="00C97452">
      <w:pPr>
        <w:spacing w:line="360" w:lineRule="auto"/>
        <w:ind w:left="993" w:hanging="993"/>
        <w:jc w:val="both"/>
        <w:rPr>
          <w:rFonts w:ascii="Times New Roman" w:eastAsia="Calibri" w:hAnsi="Times New Roman" w:cs="Times New Roman"/>
          <w:sz w:val="24"/>
          <w:szCs w:val="24"/>
          <w:lang w:val="es-MX"/>
        </w:rPr>
      </w:pPr>
      <w:proofErr w:type="spellStart"/>
      <w:r w:rsidRPr="00C97452">
        <w:rPr>
          <w:rFonts w:ascii="Times New Roman" w:eastAsia="Calibri" w:hAnsi="Times New Roman" w:cs="Times New Roman"/>
          <w:sz w:val="24"/>
          <w:szCs w:val="24"/>
          <w:lang w:val="es-MX"/>
        </w:rPr>
        <w:t>Galtung</w:t>
      </w:r>
      <w:proofErr w:type="spellEnd"/>
      <w:r w:rsidRPr="00C97452">
        <w:rPr>
          <w:rFonts w:ascii="Times New Roman" w:eastAsia="Calibri" w:hAnsi="Times New Roman" w:cs="Times New Roman"/>
          <w:sz w:val="24"/>
          <w:szCs w:val="24"/>
          <w:lang w:val="es-MX"/>
        </w:rPr>
        <w:t>, Johan</w:t>
      </w:r>
      <w:r w:rsidR="00974712" w:rsidRPr="00C97452">
        <w:rPr>
          <w:rFonts w:ascii="Times New Roman" w:eastAsia="Calibri" w:hAnsi="Times New Roman" w:cs="Times New Roman"/>
          <w:sz w:val="24"/>
          <w:szCs w:val="24"/>
          <w:lang w:val="es-MX"/>
        </w:rPr>
        <w:t xml:space="preserve"> (1995)</w:t>
      </w:r>
      <w:r w:rsidRPr="00C97452">
        <w:rPr>
          <w:rFonts w:ascii="Times New Roman" w:eastAsia="Calibri" w:hAnsi="Times New Roman" w:cs="Times New Roman"/>
          <w:sz w:val="24"/>
          <w:szCs w:val="24"/>
          <w:lang w:val="es-MX"/>
        </w:rPr>
        <w:t xml:space="preserve">. Investigaciones teóricas sociedad y cultura. Madrid: </w:t>
      </w:r>
      <w:proofErr w:type="spellStart"/>
      <w:r w:rsidRPr="00C97452">
        <w:rPr>
          <w:rFonts w:ascii="Times New Roman" w:eastAsia="Calibri" w:hAnsi="Times New Roman" w:cs="Times New Roman"/>
          <w:sz w:val="24"/>
          <w:szCs w:val="24"/>
          <w:lang w:val="es-MX"/>
        </w:rPr>
        <w:t>Tecnos</w:t>
      </w:r>
      <w:proofErr w:type="spellEnd"/>
      <w:r w:rsidRPr="00C97452">
        <w:rPr>
          <w:rFonts w:ascii="Times New Roman" w:eastAsia="Calibri" w:hAnsi="Times New Roman" w:cs="Times New Roman"/>
          <w:sz w:val="24"/>
          <w:szCs w:val="24"/>
          <w:lang w:val="es-MX"/>
        </w:rPr>
        <w:t>.</w:t>
      </w:r>
    </w:p>
    <w:p w:rsidR="00717F78" w:rsidRPr="00C97452" w:rsidRDefault="00717F78"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Hernández Laos, Enrique</w:t>
      </w:r>
      <w:r w:rsidR="00974712" w:rsidRPr="00C97452">
        <w:rPr>
          <w:rFonts w:ascii="Times New Roman" w:eastAsia="Calibri" w:hAnsi="Times New Roman" w:cs="Times New Roman"/>
          <w:sz w:val="24"/>
          <w:szCs w:val="24"/>
          <w:lang w:val="es-MX"/>
        </w:rPr>
        <w:t xml:space="preserve"> (2000)</w:t>
      </w:r>
      <w:r w:rsidRPr="00C97452">
        <w:rPr>
          <w:rFonts w:ascii="Times New Roman" w:eastAsia="Calibri" w:hAnsi="Times New Roman" w:cs="Times New Roman"/>
          <w:sz w:val="24"/>
          <w:szCs w:val="24"/>
          <w:lang w:val="es-MX"/>
        </w:rPr>
        <w:t>, Prospectiva demográfica y económica de México y sus efectos sobre la pobreza, México: CONAPO, 2000, pp.6-7.</w:t>
      </w:r>
    </w:p>
    <w:p w:rsidR="0077261C" w:rsidRPr="00C97452" w:rsidRDefault="0077261C"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IHME - Red de Desarrollo Humano del Banco Mundial</w:t>
      </w:r>
      <w:r w:rsidR="00974712" w:rsidRPr="00C97452">
        <w:rPr>
          <w:rFonts w:ascii="Times New Roman" w:eastAsia="Calibri" w:hAnsi="Times New Roman" w:cs="Times New Roman"/>
          <w:sz w:val="24"/>
          <w:szCs w:val="24"/>
          <w:lang w:val="es-MX"/>
        </w:rPr>
        <w:t xml:space="preserve"> (2013)</w:t>
      </w:r>
      <w:r w:rsidRPr="00C97452">
        <w:rPr>
          <w:rFonts w:ascii="Times New Roman" w:eastAsia="Calibri" w:hAnsi="Times New Roman" w:cs="Times New Roman"/>
          <w:sz w:val="24"/>
          <w:szCs w:val="24"/>
          <w:lang w:val="es-MX"/>
        </w:rPr>
        <w:t>. La carga mundial de morbilidad: generar evidencia, orientar políticas, edición regional para América Latina y el Caribe (</w:t>
      </w:r>
      <w:proofErr w:type="spellStart"/>
      <w:r w:rsidRPr="00C97452">
        <w:rPr>
          <w:rFonts w:ascii="Times New Roman" w:eastAsia="Calibri" w:hAnsi="Times New Roman" w:cs="Times New Roman"/>
          <w:sz w:val="24"/>
          <w:szCs w:val="24"/>
          <w:lang w:val="es-MX"/>
        </w:rPr>
        <w:t>ALyC</w:t>
      </w:r>
      <w:proofErr w:type="spellEnd"/>
      <w:r w:rsidRPr="00C97452">
        <w:rPr>
          <w:rFonts w:ascii="Times New Roman" w:eastAsia="Calibri" w:hAnsi="Times New Roman" w:cs="Times New Roman"/>
          <w:sz w:val="24"/>
          <w:szCs w:val="24"/>
          <w:lang w:val="es-MX"/>
        </w:rPr>
        <w:t xml:space="preserve">). Estados Unidos de América: </w:t>
      </w:r>
      <w:proofErr w:type="spellStart"/>
      <w:r w:rsidRPr="00C97452">
        <w:rPr>
          <w:rFonts w:ascii="Times New Roman" w:eastAsia="Calibri" w:hAnsi="Times New Roman" w:cs="Times New Roman"/>
          <w:sz w:val="24"/>
          <w:szCs w:val="24"/>
          <w:lang w:val="es-MX"/>
        </w:rPr>
        <w:t>Institute</w:t>
      </w:r>
      <w:proofErr w:type="spellEnd"/>
      <w:r w:rsidRPr="00C97452">
        <w:rPr>
          <w:rFonts w:ascii="Times New Roman" w:eastAsia="Calibri" w:hAnsi="Times New Roman" w:cs="Times New Roman"/>
          <w:sz w:val="24"/>
          <w:szCs w:val="24"/>
          <w:lang w:val="es-MX"/>
        </w:rPr>
        <w:t xml:space="preserve"> </w:t>
      </w:r>
      <w:proofErr w:type="spellStart"/>
      <w:r w:rsidRPr="00C97452">
        <w:rPr>
          <w:rFonts w:ascii="Times New Roman" w:eastAsia="Calibri" w:hAnsi="Times New Roman" w:cs="Times New Roman"/>
          <w:sz w:val="24"/>
          <w:szCs w:val="24"/>
          <w:lang w:val="es-MX"/>
        </w:rPr>
        <w:t>for</w:t>
      </w:r>
      <w:proofErr w:type="spellEnd"/>
      <w:r w:rsidRPr="00C97452">
        <w:rPr>
          <w:rFonts w:ascii="Times New Roman" w:eastAsia="Calibri" w:hAnsi="Times New Roman" w:cs="Times New Roman"/>
          <w:sz w:val="24"/>
          <w:szCs w:val="24"/>
          <w:lang w:val="es-MX"/>
        </w:rPr>
        <w:t xml:space="preserve"> </w:t>
      </w:r>
      <w:proofErr w:type="spellStart"/>
      <w:r w:rsidRPr="00C97452">
        <w:rPr>
          <w:rFonts w:ascii="Times New Roman" w:eastAsia="Calibri" w:hAnsi="Times New Roman" w:cs="Times New Roman"/>
          <w:sz w:val="24"/>
          <w:szCs w:val="24"/>
          <w:lang w:val="es-MX"/>
        </w:rPr>
        <w:t>Health</w:t>
      </w:r>
      <w:proofErr w:type="spellEnd"/>
      <w:r w:rsidRPr="00C97452">
        <w:rPr>
          <w:rFonts w:ascii="Times New Roman" w:eastAsia="Calibri" w:hAnsi="Times New Roman" w:cs="Times New Roman"/>
          <w:sz w:val="24"/>
          <w:szCs w:val="24"/>
          <w:lang w:val="es-MX"/>
        </w:rPr>
        <w:t xml:space="preserve"> </w:t>
      </w:r>
      <w:proofErr w:type="spellStart"/>
      <w:r w:rsidRPr="00C97452">
        <w:rPr>
          <w:rFonts w:ascii="Times New Roman" w:eastAsia="Calibri" w:hAnsi="Times New Roman" w:cs="Times New Roman"/>
          <w:sz w:val="24"/>
          <w:szCs w:val="24"/>
          <w:lang w:val="es-MX"/>
        </w:rPr>
        <w:t>Metrics</w:t>
      </w:r>
      <w:proofErr w:type="spellEnd"/>
      <w:r w:rsidRPr="00C97452">
        <w:rPr>
          <w:rFonts w:ascii="Times New Roman" w:eastAsia="Calibri" w:hAnsi="Times New Roman" w:cs="Times New Roman"/>
          <w:sz w:val="24"/>
          <w:szCs w:val="24"/>
          <w:lang w:val="es-MX"/>
        </w:rPr>
        <w:t xml:space="preserve"> and </w:t>
      </w:r>
      <w:proofErr w:type="spellStart"/>
      <w:r w:rsidRPr="00C97452">
        <w:rPr>
          <w:rFonts w:ascii="Times New Roman" w:eastAsia="Calibri" w:hAnsi="Times New Roman" w:cs="Times New Roman"/>
          <w:sz w:val="24"/>
          <w:szCs w:val="24"/>
          <w:lang w:val="es-MX"/>
        </w:rPr>
        <w:t>Evaluation</w:t>
      </w:r>
      <w:proofErr w:type="spellEnd"/>
      <w:r w:rsidRPr="00C97452">
        <w:rPr>
          <w:rFonts w:ascii="Times New Roman" w:eastAsia="Calibri" w:hAnsi="Times New Roman" w:cs="Times New Roman"/>
          <w:sz w:val="24"/>
          <w:szCs w:val="24"/>
          <w:lang w:val="es-MX"/>
        </w:rPr>
        <w:t>.</w:t>
      </w:r>
    </w:p>
    <w:p w:rsidR="00717F78" w:rsidRPr="00C97452" w:rsidRDefault="00717F78"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 xml:space="preserve">IMIP. Análisis estructural del empleo en Cd. Juárez, </w:t>
      </w:r>
      <w:proofErr w:type="spellStart"/>
      <w:r w:rsidRPr="00C97452">
        <w:rPr>
          <w:rFonts w:ascii="Times New Roman" w:eastAsia="Calibri" w:hAnsi="Times New Roman" w:cs="Times New Roman"/>
          <w:sz w:val="24"/>
          <w:szCs w:val="24"/>
          <w:lang w:val="es-MX"/>
        </w:rPr>
        <w:t>Chih</w:t>
      </w:r>
      <w:proofErr w:type="spellEnd"/>
      <w:r w:rsidRPr="00C97452">
        <w:rPr>
          <w:rFonts w:ascii="Times New Roman" w:eastAsia="Calibri" w:hAnsi="Times New Roman" w:cs="Times New Roman"/>
          <w:sz w:val="24"/>
          <w:szCs w:val="24"/>
          <w:lang w:val="es-MX"/>
        </w:rPr>
        <w:t xml:space="preserve">. Ciudad Juárez: Secretaría de Desarrollo Industrial del Gobierno del Estado de Chihuahua - Instituto Municipal de Investigación y Planeación, </w:t>
      </w:r>
      <w:r w:rsidR="00974712" w:rsidRPr="00C97452">
        <w:rPr>
          <w:rFonts w:ascii="Times New Roman" w:eastAsia="Calibri" w:hAnsi="Times New Roman" w:cs="Times New Roman"/>
          <w:sz w:val="24"/>
          <w:szCs w:val="24"/>
          <w:lang w:val="es-MX"/>
        </w:rPr>
        <w:t>S</w:t>
      </w:r>
      <w:r w:rsidRPr="00C97452">
        <w:rPr>
          <w:rFonts w:ascii="Times New Roman" w:eastAsia="Calibri" w:hAnsi="Times New Roman" w:cs="Times New Roman"/>
          <w:sz w:val="24"/>
          <w:szCs w:val="24"/>
          <w:lang w:val="es-MX"/>
        </w:rPr>
        <w:t>.</w:t>
      </w:r>
      <w:r w:rsidR="00974712" w:rsidRPr="00C97452">
        <w:rPr>
          <w:rFonts w:ascii="Times New Roman" w:eastAsia="Calibri" w:hAnsi="Times New Roman" w:cs="Times New Roman"/>
          <w:sz w:val="24"/>
          <w:szCs w:val="24"/>
          <w:lang w:val="es-MX"/>
        </w:rPr>
        <w:t>A</w:t>
      </w:r>
      <w:r w:rsidRPr="00C97452">
        <w:rPr>
          <w:rFonts w:ascii="Times New Roman" w:eastAsia="Calibri" w:hAnsi="Times New Roman" w:cs="Times New Roman"/>
          <w:sz w:val="24"/>
          <w:szCs w:val="24"/>
          <w:lang w:val="es-MX"/>
        </w:rPr>
        <w:t>.</w:t>
      </w:r>
    </w:p>
    <w:p w:rsidR="008C601D" w:rsidRPr="00C97452" w:rsidRDefault="008C601D"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Instituto Municipal de Seguridad Pública. Estudio sobre pandillas. Ciudad Juárez, septiembre de 2004.</w:t>
      </w:r>
    </w:p>
    <w:p w:rsidR="003D21DD" w:rsidRPr="00C97452" w:rsidRDefault="003D21DD"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INEGI. Estadísticas de mortalidad, 2009</w:t>
      </w:r>
      <w:r w:rsidR="00974712" w:rsidRPr="00C97452">
        <w:rPr>
          <w:rFonts w:ascii="Times New Roman" w:eastAsia="Calibri" w:hAnsi="Times New Roman" w:cs="Times New Roman"/>
          <w:sz w:val="24"/>
          <w:szCs w:val="24"/>
          <w:lang w:val="es-MX"/>
        </w:rPr>
        <w:t>-</w:t>
      </w:r>
      <w:r w:rsidRPr="00C97452">
        <w:rPr>
          <w:rFonts w:ascii="Times New Roman" w:eastAsia="Calibri" w:hAnsi="Times New Roman" w:cs="Times New Roman"/>
          <w:sz w:val="24"/>
          <w:szCs w:val="24"/>
          <w:lang w:val="es-MX"/>
        </w:rPr>
        <w:t>2010.</w:t>
      </w:r>
    </w:p>
    <w:p w:rsidR="008C601D" w:rsidRPr="00C97452" w:rsidRDefault="008C601D" w:rsidP="00C97452">
      <w:pPr>
        <w:spacing w:line="360" w:lineRule="auto"/>
        <w:ind w:left="993" w:hanging="993"/>
        <w:jc w:val="both"/>
        <w:rPr>
          <w:rFonts w:ascii="Times New Roman" w:eastAsia="Calibri" w:hAnsi="Times New Roman" w:cs="Times New Roman"/>
          <w:sz w:val="24"/>
          <w:szCs w:val="24"/>
          <w:lang w:val="es-MX"/>
        </w:rPr>
      </w:pPr>
      <w:proofErr w:type="spellStart"/>
      <w:r w:rsidRPr="00C97452">
        <w:rPr>
          <w:rFonts w:ascii="Times New Roman" w:eastAsia="Calibri" w:hAnsi="Times New Roman" w:cs="Times New Roman"/>
          <w:sz w:val="24"/>
          <w:szCs w:val="24"/>
          <w:lang w:val="es-MX"/>
        </w:rPr>
        <w:t>Krauskopf</w:t>
      </w:r>
      <w:proofErr w:type="spellEnd"/>
      <w:r w:rsidRPr="00C97452">
        <w:rPr>
          <w:rFonts w:ascii="Times New Roman" w:eastAsia="Calibri" w:hAnsi="Times New Roman" w:cs="Times New Roman"/>
          <w:sz w:val="24"/>
          <w:szCs w:val="24"/>
          <w:lang w:val="es-MX"/>
        </w:rPr>
        <w:t>, Dina</w:t>
      </w:r>
      <w:r w:rsidR="00974712" w:rsidRPr="00C97452">
        <w:rPr>
          <w:rFonts w:ascii="Times New Roman" w:eastAsia="Calibri" w:hAnsi="Times New Roman" w:cs="Times New Roman"/>
          <w:sz w:val="24"/>
          <w:szCs w:val="24"/>
          <w:lang w:val="es-MX"/>
        </w:rPr>
        <w:t xml:space="preserve"> (2006)</w:t>
      </w:r>
      <w:r w:rsidR="003C337B" w:rsidRPr="00C97452">
        <w:rPr>
          <w:rFonts w:ascii="Times New Roman" w:eastAsia="Calibri" w:hAnsi="Times New Roman" w:cs="Times New Roman"/>
          <w:sz w:val="24"/>
          <w:szCs w:val="24"/>
          <w:lang w:val="es-MX"/>
        </w:rPr>
        <w:t>.</w:t>
      </w:r>
      <w:r w:rsidRPr="00C97452">
        <w:rPr>
          <w:rFonts w:ascii="Times New Roman" w:eastAsia="Calibri" w:hAnsi="Times New Roman" w:cs="Times New Roman"/>
          <w:sz w:val="24"/>
          <w:szCs w:val="24"/>
          <w:lang w:val="es-MX"/>
        </w:rPr>
        <w:t xml:space="preserve"> Organización Panamericana de la Salud. Estado del arte de los programas de prevención de la violencia en ámbitos escolares. Washington, D.C.: Organización Panamericana de la Salud.</w:t>
      </w:r>
    </w:p>
    <w:p w:rsidR="00717F78" w:rsidRPr="00C97452" w:rsidRDefault="00717F78" w:rsidP="00C97452">
      <w:pPr>
        <w:spacing w:line="360" w:lineRule="auto"/>
        <w:ind w:left="993" w:hanging="993"/>
        <w:jc w:val="both"/>
        <w:rPr>
          <w:rFonts w:ascii="Times New Roman" w:eastAsia="Calibri" w:hAnsi="Times New Roman" w:cs="Times New Roman"/>
          <w:sz w:val="24"/>
          <w:szCs w:val="24"/>
          <w:lang w:val="es-MX"/>
        </w:rPr>
      </w:pPr>
      <w:proofErr w:type="spellStart"/>
      <w:r w:rsidRPr="00C97452">
        <w:rPr>
          <w:rFonts w:ascii="Times New Roman" w:eastAsia="Calibri" w:hAnsi="Times New Roman" w:cs="Times New Roman"/>
          <w:sz w:val="24"/>
          <w:szCs w:val="24"/>
          <w:lang w:val="es-MX"/>
        </w:rPr>
        <w:t>Larrain</w:t>
      </w:r>
      <w:proofErr w:type="spellEnd"/>
      <w:r w:rsidRPr="00C97452">
        <w:rPr>
          <w:rFonts w:ascii="Times New Roman" w:eastAsia="Calibri" w:hAnsi="Times New Roman" w:cs="Times New Roman"/>
          <w:sz w:val="24"/>
          <w:szCs w:val="24"/>
          <w:lang w:val="es-MX"/>
        </w:rPr>
        <w:t xml:space="preserve"> S, Rodríguez T. Los orígenes y el control de la violencia doméstica en contra de la mujer. En: Gómez </w:t>
      </w:r>
      <w:proofErr w:type="spellStart"/>
      <w:r w:rsidRPr="00C97452">
        <w:rPr>
          <w:rFonts w:ascii="Times New Roman" w:eastAsia="Calibri" w:hAnsi="Times New Roman" w:cs="Times New Roman"/>
          <w:sz w:val="24"/>
          <w:szCs w:val="24"/>
          <w:lang w:val="es-MX"/>
        </w:rPr>
        <w:t>Gómez</w:t>
      </w:r>
      <w:proofErr w:type="spellEnd"/>
      <w:r w:rsidRPr="00C97452">
        <w:rPr>
          <w:rFonts w:ascii="Times New Roman" w:eastAsia="Calibri" w:hAnsi="Times New Roman" w:cs="Times New Roman"/>
          <w:sz w:val="24"/>
          <w:szCs w:val="24"/>
          <w:lang w:val="es-MX"/>
        </w:rPr>
        <w:t xml:space="preserve"> Elsa (ed.) Género, Mujer y Salud en las Américas. Washington D.C.: OPS, 1993, p. 202-9.</w:t>
      </w:r>
    </w:p>
    <w:p w:rsidR="001145EB" w:rsidRPr="00C97452" w:rsidRDefault="001145EB"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lastRenderedPageBreak/>
        <w:t>Molero de Cabeza, Lourdes</w:t>
      </w:r>
      <w:r w:rsidR="003C337B" w:rsidRPr="00C97452">
        <w:rPr>
          <w:rFonts w:ascii="Times New Roman" w:eastAsia="Calibri" w:hAnsi="Times New Roman" w:cs="Times New Roman"/>
          <w:sz w:val="24"/>
          <w:szCs w:val="24"/>
          <w:lang w:val="es-MX"/>
        </w:rPr>
        <w:t xml:space="preserve"> y </w:t>
      </w:r>
      <w:r w:rsidRPr="00C97452">
        <w:rPr>
          <w:rFonts w:ascii="Times New Roman" w:eastAsia="Calibri" w:hAnsi="Times New Roman" w:cs="Times New Roman"/>
          <w:sz w:val="24"/>
          <w:szCs w:val="24"/>
          <w:lang w:val="es-MX"/>
        </w:rPr>
        <w:t>Cabeza I., Julián</w:t>
      </w:r>
      <w:r w:rsidR="00974712" w:rsidRPr="00C97452">
        <w:rPr>
          <w:rFonts w:ascii="Times New Roman" w:eastAsia="Calibri" w:hAnsi="Times New Roman" w:cs="Times New Roman"/>
          <w:sz w:val="24"/>
          <w:szCs w:val="24"/>
          <w:lang w:val="es-MX"/>
        </w:rPr>
        <w:t xml:space="preserve"> (2006)</w:t>
      </w:r>
      <w:r w:rsidRPr="00C97452">
        <w:rPr>
          <w:rFonts w:ascii="Times New Roman" w:eastAsia="Calibri" w:hAnsi="Times New Roman" w:cs="Times New Roman"/>
          <w:sz w:val="24"/>
          <w:szCs w:val="24"/>
          <w:lang w:val="es-MX"/>
        </w:rPr>
        <w:t>. El análisis del discurso como método para la investigación en las ciencias humanas y sociales. En: Molero de Cabeza, Lourdes y López, María del Pilar (eds.) El análisis del discurso como método para la investigación en las ciencias humanas y sociales. Venezuela: Universidad de Zulia, pp. 13-42.</w:t>
      </w:r>
    </w:p>
    <w:p w:rsidR="00545B92" w:rsidRPr="001E4196" w:rsidRDefault="003749A5" w:rsidP="00C97452">
      <w:pPr>
        <w:spacing w:line="360" w:lineRule="auto"/>
        <w:ind w:left="993" w:hanging="993"/>
        <w:jc w:val="both"/>
        <w:rPr>
          <w:rFonts w:ascii="Times New Roman" w:eastAsia="Calibri" w:hAnsi="Times New Roman" w:cs="Times New Roman"/>
          <w:sz w:val="24"/>
          <w:szCs w:val="24"/>
          <w:lang w:val="en-US"/>
        </w:rPr>
      </w:pPr>
      <w:r w:rsidRPr="00C97452">
        <w:rPr>
          <w:rFonts w:ascii="Times New Roman" w:eastAsia="Calibri" w:hAnsi="Times New Roman" w:cs="Times New Roman"/>
          <w:sz w:val="24"/>
          <w:szCs w:val="24"/>
          <w:lang w:val="es-MX"/>
        </w:rPr>
        <w:t>OMS</w:t>
      </w:r>
      <w:r w:rsidR="003C337B" w:rsidRPr="00C97452">
        <w:rPr>
          <w:rFonts w:ascii="Times New Roman" w:eastAsia="Calibri" w:hAnsi="Times New Roman" w:cs="Times New Roman"/>
          <w:sz w:val="24"/>
          <w:szCs w:val="24"/>
          <w:lang w:val="es-MX"/>
        </w:rPr>
        <w:t xml:space="preserve"> (2003)</w:t>
      </w:r>
      <w:r w:rsidRPr="00C97452">
        <w:rPr>
          <w:rFonts w:ascii="Times New Roman" w:eastAsia="Calibri" w:hAnsi="Times New Roman" w:cs="Times New Roman"/>
          <w:sz w:val="24"/>
          <w:szCs w:val="24"/>
          <w:lang w:val="es-MX"/>
        </w:rPr>
        <w:t>.</w:t>
      </w:r>
      <w:r w:rsidR="00545B92" w:rsidRPr="00C97452">
        <w:rPr>
          <w:rFonts w:ascii="Times New Roman" w:eastAsia="Calibri" w:hAnsi="Times New Roman" w:cs="Times New Roman"/>
          <w:sz w:val="24"/>
          <w:szCs w:val="24"/>
          <w:lang w:val="es-MX"/>
        </w:rPr>
        <w:t xml:space="preserve"> Informe Mundial sobre la Violencia y la Salud. </w:t>
      </w:r>
      <w:r w:rsidR="00545B92" w:rsidRPr="001E4196">
        <w:rPr>
          <w:rFonts w:ascii="Times New Roman" w:eastAsia="Calibri" w:hAnsi="Times New Roman" w:cs="Times New Roman"/>
          <w:sz w:val="24"/>
          <w:szCs w:val="24"/>
          <w:lang w:val="en-US"/>
        </w:rPr>
        <w:t>Etienne G. Krug, Linda L. Dahlberg, James A. Mercy, Anthony B. Zwi y Rafael Lozano (Eds.) Washington, D.C.</w:t>
      </w:r>
    </w:p>
    <w:p w:rsidR="003749A5" w:rsidRPr="00C97452" w:rsidRDefault="00545B92"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OMS</w:t>
      </w:r>
      <w:r w:rsidR="00974712" w:rsidRPr="00C97452">
        <w:rPr>
          <w:rFonts w:ascii="Times New Roman" w:eastAsia="Calibri" w:hAnsi="Times New Roman" w:cs="Times New Roman"/>
          <w:sz w:val="24"/>
          <w:szCs w:val="24"/>
          <w:lang w:val="es-MX"/>
        </w:rPr>
        <w:t xml:space="preserve"> (2013)</w:t>
      </w:r>
      <w:r w:rsidRPr="00C97452">
        <w:rPr>
          <w:rFonts w:ascii="Times New Roman" w:eastAsia="Calibri" w:hAnsi="Times New Roman" w:cs="Times New Roman"/>
          <w:sz w:val="24"/>
          <w:szCs w:val="24"/>
          <w:lang w:val="es-MX"/>
        </w:rPr>
        <w:t xml:space="preserve">. </w:t>
      </w:r>
      <w:r w:rsidR="003749A5" w:rsidRPr="00C97452">
        <w:rPr>
          <w:rFonts w:ascii="Times New Roman" w:eastAsia="Calibri" w:hAnsi="Times New Roman" w:cs="Times New Roman"/>
          <w:sz w:val="24"/>
          <w:szCs w:val="24"/>
          <w:lang w:val="es-MX"/>
        </w:rPr>
        <w:t>Informe sobre la situación mundial de la seguridad vial 2013. Apoyo al decenio de acción. Ginebra.</w:t>
      </w:r>
    </w:p>
    <w:p w:rsidR="00E1419E" w:rsidRPr="00C97452" w:rsidRDefault="003749A5"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OMS</w:t>
      </w:r>
      <w:r w:rsidR="00974712" w:rsidRPr="00C97452">
        <w:rPr>
          <w:rFonts w:ascii="Times New Roman" w:eastAsia="Calibri" w:hAnsi="Times New Roman" w:cs="Times New Roman"/>
          <w:sz w:val="24"/>
          <w:szCs w:val="24"/>
          <w:lang w:val="es-MX"/>
        </w:rPr>
        <w:t xml:space="preserve"> (2004)</w:t>
      </w:r>
      <w:r w:rsidRPr="00C97452">
        <w:rPr>
          <w:rFonts w:ascii="Times New Roman" w:eastAsia="Calibri" w:hAnsi="Times New Roman" w:cs="Times New Roman"/>
          <w:sz w:val="24"/>
          <w:szCs w:val="24"/>
          <w:lang w:val="es-MX"/>
        </w:rPr>
        <w:t>. Informe mundial sobre prevención de los traumatismos causados por el tránsito: resumen. Ginebra: OMS.</w:t>
      </w:r>
    </w:p>
    <w:p w:rsidR="00136F53" w:rsidRPr="00C97452" w:rsidRDefault="00136F53"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OMS</w:t>
      </w:r>
      <w:r w:rsidR="00974712" w:rsidRPr="00C97452">
        <w:rPr>
          <w:rFonts w:ascii="Times New Roman" w:eastAsia="Calibri" w:hAnsi="Times New Roman" w:cs="Times New Roman"/>
          <w:sz w:val="24"/>
          <w:szCs w:val="24"/>
          <w:lang w:val="es-MX"/>
        </w:rPr>
        <w:t xml:space="preserve"> (2012)</w:t>
      </w:r>
      <w:r w:rsidRPr="00C97452">
        <w:rPr>
          <w:rFonts w:ascii="Times New Roman" w:eastAsia="Calibri" w:hAnsi="Times New Roman" w:cs="Times New Roman"/>
          <w:sz w:val="24"/>
          <w:szCs w:val="24"/>
          <w:lang w:val="es-MX"/>
        </w:rPr>
        <w:t>. Prevención del suicidio (SUPRE). Agosto de 2012 http://www.who.int/mental_health/prevention/suicide/suicideprevent/es/#</w:t>
      </w:r>
    </w:p>
    <w:p w:rsidR="003749A5" w:rsidRPr="00C97452" w:rsidRDefault="003749A5"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 xml:space="preserve">Observatorio de Seguridad y Convivencia Ciudadanas del Municipio de Juárez. “Incidentes viales, 2008 – 2012”. Violencia hacia las mujeres. Boletín Número 6, agosto de 2013, pp. 4 - 13. </w:t>
      </w:r>
    </w:p>
    <w:p w:rsidR="003749A5" w:rsidRPr="00C97452" w:rsidRDefault="003749A5"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Observatorio de Seguridad y Convivencia Ciudadanas del Municipio de Juárez. “Suicidios”. Boletín Número 6, agosto de 2013, pp. 21 - 28.</w:t>
      </w:r>
    </w:p>
    <w:p w:rsidR="0077261C" w:rsidRPr="00C97452" w:rsidRDefault="0077261C"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 xml:space="preserve">Observatorio de Seguridad y Convivencia Ciudadanas del Municipio de Juárez. “Homicidios”. </w:t>
      </w:r>
      <w:r w:rsidR="003749A5" w:rsidRPr="00C97452">
        <w:rPr>
          <w:rFonts w:ascii="Times New Roman" w:eastAsia="Calibri" w:hAnsi="Times New Roman" w:cs="Times New Roman"/>
          <w:sz w:val="24"/>
          <w:szCs w:val="24"/>
          <w:lang w:val="es-MX"/>
        </w:rPr>
        <w:t>Boletín Número 6, agosto de 2013, pp. 19 - 20.</w:t>
      </w:r>
    </w:p>
    <w:p w:rsidR="003749A5" w:rsidRPr="00C97452" w:rsidRDefault="003749A5"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 xml:space="preserve">Observatorio de Seguridad y Convivencia Ciudadanas del Municipio de Juárez. </w:t>
      </w:r>
      <w:r w:rsidR="0077261C" w:rsidRPr="00C97452">
        <w:rPr>
          <w:rFonts w:ascii="Times New Roman" w:eastAsia="Calibri" w:hAnsi="Times New Roman" w:cs="Times New Roman"/>
          <w:sz w:val="24"/>
          <w:szCs w:val="24"/>
          <w:lang w:val="es-MX"/>
        </w:rPr>
        <w:t xml:space="preserve">“Violencia hacia las mujeres”. </w:t>
      </w:r>
      <w:r w:rsidRPr="00C97452">
        <w:rPr>
          <w:rFonts w:ascii="Times New Roman" w:eastAsia="Calibri" w:hAnsi="Times New Roman" w:cs="Times New Roman"/>
          <w:sz w:val="24"/>
          <w:szCs w:val="24"/>
          <w:lang w:val="es-MX"/>
        </w:rPr>
        <w:t>Boletín Número 6, agosto de 2013, pp. 36</w:t>
      </w:r>
      <w:r w:rsidR="00B10CC7" w:rsidRPr="00C97452">
        <w:rPr>
          <w:rFonts w:ascii="Times New Roman" w:eastAsia="Calibri" w:hAnsi="Times New Roman" w:cs="Times New Roman"/>
          <w:sz w:val="24"/>
          <w:szCs w:val="24"/>
          <w:lang w:val="es-MX"/>
        </w:rPr>
        <w:t>-</w:t>
      </w:r>
      <w:r w:rsidRPr="00C97452">
        <w:rPr>
          <w:rFonts w:ascii="Times New Roman" w:eastAsia="Calibri" w:hAnsi="Times New Roman" w:cs="Times New Roman"/>
          <w:sz w:val="24"/>
          <w:szCs w:val="24"/>
          <w:lang w:val="es-MX"/>
        </w:rPr>
        <w:t>43.</w:t>
      </w:r>
    </w:p>
    <w:p w:rsidR="008C601D" w:rsidRPr="00C97452" w:rsidRDefault="008C601D"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Pacheco González, Sergio; Pequeño Rodríguez, Consuelo; Pérez García, M</w:t>
      </w:r>
      <w:r w:rsidR="001145EB" w:rsidRPr="00C97452">
        <w:rPr>
          <w:rFonts w:ascii="Times New Roman" w:eastAsia="Calibri" w:hAnsi="Times New Roman" w:cs="Times New Roman"/>
          <w:sz w:val="24"/>
          <w:szCs w:val="24"/>
          <w:lang w:val="es-MX"/>
        </w:rPr>
        <w:t>artha E</w:t>
      </w:r>
      <w:r w:rsidRPr="00C97452">
        <w:rPr>
          <w:rFonts w:ascii="Times New Roman" w:eastAsia="Calibri" w:hAnsi="Times New Roman" w:cs="Times New Roman"/>
          <w:sz w:val="24"/>
          <w:szCs w:val="24"/>
          <w:lang w:val="es-MX"/>
        </w:rPr>
        <w:t>stela y Bass</w:t>
      </w:r>
      <w:r w:rsidR="001145EB" w:rsidRPr="00C97452">
        <w:rPr>
          <w:rFonts w:ascii="Times New Roman" w:eastAsia="Calibri" w:hAnsi="Times New Roman" w:cs="Times New Roman"/>
          <w:sz w:val="24"/>
          <w:szCs w:val="24"/>
          <w:lang w:val="es-MX"/>
        </w:rPr>
        <w:t xml:space="preserve"> Zavala</w:t>
      </w:r>
      <w:r w:rsidRPr="00C97452">
        <w:rPr>
          <w:rFonts w:ascii="Times New Roman" w:eastAsia="Calibri" w:hAnsi="Times New Roman" w:cs="Times New Roman"/>
          <w:sz w:val="24"/>
          <w:szCs w:val="24"/>
          <w:lang w:val="es-MX"/>
        </w:rPr>
        <w:t>, S</w:t>
      </w:r>
      <w:r w:rsidR="001145EB" w:rsidRPr="00C97452">
        <w:rPr>
          <w:rFonts w:ascii="Times New Roman" w:eastAsia="Calibri" w:hAnsi="Times New Roman" w:cs="Times New Roman"/>
          <w:sz w:val="24"/>
          <w:szCs w:val="24"/>
          <w:lang w:val="es-MX"/>
        </w:rPr>
        <w:t>onia</w:t>
      </w:r>
      <w:r w:rsidR="00B10CC7" w:rsidRPr="00C97452">
        <w:rPr>
          <w:rFonts w:ascii="Times New Roman" w:eastAsia="Calibri" w:hAnsi="Times New Roman" w:cs="Times New Roman"/>
          <w:sz w:val="24"/>
          <w:szCs w:val="24"/>
          <w:lang w:val="es-MX"/>
        </w:rPr>
        <w:t xml:space="preserve"> (2010)</w:t>
      </w:r>
      <w:r w:rsidRPr="00C97452">
        <w:rPr>
          <w:rFonts w:ascii="Times New Roman" w:eastAsia="Calibri" w:hAnsi="Times New Roman" w:cs="Times New Roman"/>
          <w:sz w:val="24"/>
          <w:szCs w:val="24"/>
          <w:lang w:val="es-MX"/>
        </w:rPr>
        <w:t>. Ejercicio de la masculinidad en jóvenes juarenses y sus condiciones de riesgo en un contexto de violencia estructural. México.</w:t>
      </w:r>
    </w:p>
    <w:p w:rsidR="00AA5DF5" w:rsidRPr="00C97452" w:rsidRDefault="00AA5DF5"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lastRenderedPageBreak/>
        <w:t>Pacheco</w:t>
      </w:r>
      <w:r w:rsidR="0036491F" w:rsidRPr="00C97452">
        <w:rPr>
          <w:rFonts w:ascii="Times New Roman" w:eastAsia="Calibri" w:hAnsi="Times New Roman" w:cs="Times New Roman"/>
          <w:sz w:val="24"/>
          <w:szCs w:val="24"/>
          <w:lang w:val="es-MX"/>
        </w:rPr>
        <w:t xml:space="preserve"> González</w:t>
      </w:r>
      <w:r w:rsidRPr="00C97452">
        <w:rPr>
          <w:rFonts w:ascii="Times New Roman" w:eastAsia="Calibri" w:hAnsi="Times New Roman" w:cs="Times New Roman"/>
          <w:sz w:val="24"/>
          <w:szCs w:val="24"/>
          <w:lang w:val="es-MX"/>
        </w:rPr>
        <w:t>, S</w:t>
      </w:r>
      <w:r w:rsidR="0036491F" w:rsidRPr="00C97452">
        <w:rPr>
          <w:rFonts w:ascii="Times New Roman" w:eastAsia="Calibri" w:hAnsi="Times New Roman" w:cs="Times New Roman"/>
          <w:sz w:val="24"/>
          <w:szCs w:val="24"/>
          <w:lang w:val="es-MX"/>
        </w:rPr>
        <w:t>ergio–</w:t>
      </w:r>
      <w:r w:rsidRPr="00C97452">
        <w:rPr>
          <w:rFonts w:ascii="Times New Roman" w:eastAsia="Calibri" w:hAnsi="Times New Roman" w:cs="Times New Roman"/>
          <w:sz w:val="24"/>
          <w:szCs w:val="24"/>
          <w:lang w:val="es-MX"/>
        </w:rPr>
        <w:t>Pequeño</w:t>
      </w:r>
      <w:r w:rsidR="0036491F" w:rsidRPr="00C97452">
        <w:rPr>
          <w:rFonts w:ascii="Times New Roman" w:eastAsia="Calibri" w:hAnsi="Times New Roman" w:cs="Times New Roman"/>
          <w:sz w:val="24"/>
          <w:szCs w:val="24"/>
          <w:lang w:val="es-MX"/>
        </w:rPr>
        <w:t xml:space="preserve"> Rodríguez</w:t>
      </w:r>
      <w:r w:rsidRPr="00C97452">
        <w:rPr>
          <w:rFonts w:ascii="Times New Roman" w:eastAsia="Calibri" w:hAnsi="Times New Roman" w:cs="Times New Roman"/>
          <w:sz w:val="24"/>
          <w:szCs w:val="24"/>
          <w:lang w:val="es-MX"/>
        </w:rPr>
        <w:t>, C</w:t>
      </w:r>
      <w:r w:rsidR="0036491F" w:rsidRPr="00C97452">
        <w:rPr>
          <w:rFonts w:ascii="Times New Roman" w:eastAsia="Calibri" w:hAnsi="Times New Roman" w:cs="Times New Roman"/>
          <w:sz w:val="24"/>
          <w:szCs w:val="24"/>
          <w:lang w:val="es-MX"/>
        </w:rPr>
        <w:t>onsuelo</w:t>
      </w:r>
      <w:r w:rsidR="00804CE8" w:rsidRPr="00C97452">
        <w:rPr>
          <w:rFonts w:ascii="Times New Roman" w:eastAsia="Calibri" w:hAnsi="Times New Roman" w:cs="Times New Roman"/>
          <w:sz w:val="24"/>
          <w:szCs w:val="24"/>
          <w:lang w:val="es-MX"/>
        </w:rPr>
        <w:t xml:space="preserve"> (2011)</w:t>
      </w:r>
      <w:r w:rsidR="0036491F" w:rsidRPr="00C97452">
        <w:rPr>
          <w:rFonts w:ascii="Times New Roman" w:eastAsia="Calibri" w:hAnsi="Times New Roman" w:cs="Times New Roman"/>
          <w:sz w:val="24"/>
          <w:szCs w:val="24"/>
          <w:lang w:val="es-MX"/>
        </w:rPr>
        <w:t>.</w:t>
      </w:r>
      <w:r w:rsidRPr="00C97452">
        <w:rPr>
          <w:rFonts w:ascii="Times New Roman" w:eastAsia="Calibri" w:hAnsi="Times New Roman" w:cs="Times New Roman"/>
          <w:sz w:val="24"/>
          <w:szCs w:val="24"/>
          <w:lang w:val="es-MX"/>
        </w:rPr>
        <w:t xml:space="preserve"> </w:t>
      </w:r>
      <w:r w:rsidR="0036491F" w:rsidRPr="00C97452">
        <w:rPr>
          <w:rFonts w:ascii="Times New Roman" w:eastAsia="Calibri" w:hAnsi="Times New Roman" w:cs="Times New Roman"/>
          <w:sz w:val="24"/>
          <w:szCs w:val="24"/>
          <w:lang w:val="es-MX"/>
        </w:rPr>
        <w:t>Jóvenes y violencia estructural en Ciudad Juárez. Ponencia México</w:t>
      </w:r>
      <w:r w:rsidRPr="00C97452">
        <w:rPr>
          <w:rFonts w:ascii="Times New Roman" w:eastAsia="Calibri" w:hAnsi="Times New Roman" w:cs="Times New Roman"/>
          <w:sz w:val="24"/>
          <w:szCs w:val="24"/>
          <w:lang w:val="es-MX"/>
        </w:rPr>
        <w:t>.</w:t>
      </w:r>
    </w:p>
    <w:p w:rsidR="00717F78" w:rsidRPr="00C97452" w:rsidRDefault="00717F78"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Ravelo Blancas, Patricia–Sánchez Díaz, Sergio</w:t>
      </w:r>
      <w:r w:rsidR="00804CE8" w:rsidRPr="00C97452">
        <w:rPr>
          <w:rFonts w:ascii="Times New Roman" w:eastAsia="Calibri" w:hAnsi="Times New Roman" w:cs="Times New Roman"/>
          <w:sz w:val="24"/>
          <w:szCs w:val="24"/>
          <w:lang w:val="es-MX"/>
        </w:rPr>
        <w:t xml:space="preserve"> (2007)</w:t>
      </w:r>
      <w:r w:rsidRPr="00C97452">
        <w:rPr>
          <w:rFonts w:ascii="Times New Roman" w:eastAsia="Calibri" w:hAnsi="Times New Roman" w:cs="Times New Roman"/>
          <w:sz w:val="24"/>
          <w:szCs w:val="24"/>
          <w:lang w:val="es-MX"/>
        </w:rPr>
        <w:t>. “De la cultura obrera en las maquiladoras de Ciudad Juárez”. En: Or</w:t>
      </w:r>
      <w:r w:rsidR="00A50270" w:rsidRPr="00C97452">
        <w:rPr>
          <w:rFonts w:ascii="Times New Roman" w:eastAsia="Calibri" w:hAnsi="Times New Roman" w:cs="Times New Roman"/>
          <w:sz w:val="24"/>
          <w:szCs w:val="24"/>
          <w:lang w:val="es-MX"/>
        </w:rPr>
        <w:t>o</w:t>
      </w:r>
      <w:r w:rsidRPr="00C97452">
        <w:rPr>
          <w:rFonts w:ascii="Times New Roman" w:eastAsia="Calibri" w:hAnsi="Times New Roman" w:cs="Times New Roman"/>
          <w:sz w:val="24"/>
          <w:szCs w:val="24"/>
          <w:lang w:val="es-MX"/>
        </w:rPr>
        <w:t>zco, Víctor (coord.) Chihuahua Hoy 2007. Visiones de su historia, economía, política y cultura. México: ICHICULT-UACJ-UACH, 2007.</w:t>
      </w:r>
    </w:p>
    <w:p w:rsidR="003D21DD" w:rsidRPr="00C97452" w:rsidRDefault="003D21DD" w:rsidP="00C97452">
      <w:pPr>
        <w:spacing w:line="360" w:lineRule="auto"/>
        <w:ind w:left="993" w:hanging="993"/>
        <w:jc w:val="both"/>
        <w:rPr>
          <w:rFonts w:ascii="Times New Roman" w:eastAsia="Calibri" w:hAnsi="Times New Roman" w:cs="Times New Roman"/>
          <w:sz w:val="24"/>
          <w:szCs w:val="24"/>
          <w:lang w:val="es-MX"/>
        </w:rPr>
      </w:pPr>
      <w:proofErr w:type="spellStart"/>
      <w:r w:rsidRPr="00C97452">
        <w:rPr>
          <w:rFonts w:ascii="Times New Roman" w:eastAsia="Calibri" w:hAnsi="Times New Roman" w:cs="Times New Roman"/>
          <w:sz w:val="24"/>
          <w:szCs w:val="24"/>
          <w:lang w:val="es-MX"/>
        </w:rPr>
        <w:t>Rotondi</w:t>
      </w:r>
      <w:proofErr w:type="spellEnd"/>
      <w:r w:rsidRPr="00C97452">
        <w:rPr>
          <w:rFonts w:ascii="Times New Roman" w:eastAsia="Calibri" w:hAnsi="Times New Roman" w:cs="Times New Roman"/>
          <w:sz w:val="24"/>
          <w:szCs w:val="24"/>
          <w:lang w:val="es-MX"/>
        </w:rPr>
        <w:t>, Gabriela</w:t>
      </w:r>
      <w:r w:rsidR="00804CE8" w:rsidRPr="00C97452">
        <w:rPr>
          <w:rFonts w:ascii="Times New Roman" w:eastAsia="Calibri" w:hAnsi="Times New Roman" w:cs="Times New Roman"/>
          <w:sz w:val="24"/>
          <w:szCs w:val="24"/>
          <w:lang w:val="es-MX"/>
        </w:rPr>
        <w:t xml:space="preserve"> (2000)</w:t>
      </w:r>
      <w:r w:rsidRPr="00C97452">
        <w:rPr>
          <w:rFonts w:ascii="Times New Roman" w:eastAsia="Calibri" w:hAnsi="Times New Roman" w:cs="Times New Roman"/>
          <w:sz w:val="24"/>
          <w:szCs w:val="24"/>
          <w:lang w:val="es-MX"/>
        </w:rPr>
        <w:t>. Pobreza y masculinidad: el urbano marginal. Argentina: Espacio Editorial.</w:t>
      </w:r>
    </w:p>
    <w:p w:rsidR="003749A5" w:rsidRPr="00C97452" w:rsidRDefault="003749A5" w:rsidP="00C97452">
      <w:pPr>
        <w:spacing w:line="360" w:lineRule="auto"/>
        <w:ind w:left="993" w:hanging="993"/>
        <w:jc w:val="both"/>
        <w:rPr>
          <w:rFonts w:ascii="Times New Roman" w:eastAsia="Calibri" w:hAnsi="Times New Roman" w:cs="Times New Roman"/>
          <w:sz w:val="24"/>
          <w:szCs w:val="24"/>
          <w:lang w:val="es-MX"/>
        </w:rPr>
      </w:pPr>
      <w:proofErr w:type="spellStart"/>
      <w:r w:rsidRPr="00C97452">
        <w:rPr>
          <w:rFonts w:ascii="Times New Roman" w:eastAsia="Calibri" w:hAnsi="Times New Roman" w:cs="Times New Roman"/>
          <w:sz w:val="24"/>
          <w:szCs w:val="24"/>
          <w:lang w:val="es-MX"/>
        </w:rPr>
        <w:t>Rotondi</w:t>
      </w:r>
      <w:proofErr w:type="spellEnd"/>
      <w:r w:rsidRPr="00C97452">
        <w:rPr>
          <w:rFonts w:ascii="Times New Roman" w:eastAsia="Calibri" w:hAnsi="Times New Roman" w:cs="Times New Roman"/>
          <w:sz w:val="24"/>
          <w:szCs w:val="24"/>
          <w:lang w:val="es-MX"/>
        </w:rPr>
        <w:t>, Gabriela</w:t>
      </w:r>
      <w:r w:rsidR="00804CE8" w:rsidRPr="00C97452">
        <w:rPr>
          <w:rFonts w:ascii="Times New Roman" w:eastAsia="Calibri" w:hAnsi="Times New Roman" w:cs="Times New Roman"/>
          <w:sz w:val="24"/>
          <w:szCs w:val="24"/>
          <w:lang w:val="es-MX"/>
        </w:rPr>
        <w:t xml:space="preserve"> (2003)</w:t>
      </w:r>
      <w:r w:rsidRPr="00C97452">
        <w:rPr>
          <w:rFonts w:ascii="Times New Roman" w:eastAsia="Calibri" w:hAnsi="Times New Roman" w:cs="Times New Roman"/>
          <w:sz w:val="24"/>
          <w:szCs w:val="24"/>
          <w:lang w:val="es-MX"/>
        </w:rPr>
        <w:t>. “Ciudadanía fragilizada: género y ciudadanía”. En: Ensayos sobre ciudadanía. Reflexiones desde el trabajo social. Buenos Aires: Espacio, pp. 169-195.</w:t>
      </w:r>
    </w:p>
    <w:p w:rsidR="00667B61" w:rsidRPr="00C97452" w:rsidRDefault="00667B61"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 xml:space="preserve">Sáenz </w:t>
      </w:r>
      <w:proofErr w:type="spellStart"/>
      <w:r w:rsidRPr="00C97452">
        <w:rPr>
          <w:rFonts w:ascii="Times New Roman" w:eastAsia="Calibri" w:hAnsi="Times New Roman" w:cs="Times New Roman"/>
          <w:sz w:val="24"/>
          <w:szCs w:val="24"/>
          <w:lang w:val="es-MX"/>
        </w:rPr>
        <w:t>Lorite</w:t>
      </w:r>
      <w:proofErr w:type="spellEnd"/>
      <w:r w:rsidRPr="00C97452">
        <w:rPr>
          <w:rFonts w:ascii="Times New Roman" w:eastAsia="Calibri" w:hAnsi="Times New Roman" w:cs="Times New Roman"/>
          <w:sz w:val="24"/>
          <w:szCs w:val="24"/>
          <w:lang w:val="es-MX"/>
        </w:rPr>
        <w:t>, Manuel</w:t>
      </w:r>
      <w:r w:rsidR="00804CE8" w:rsidRPr="00C97452">
        <w:rPr>
          <w:rFonts w:ascii="Times New Roman" w:eastAsia="Calibri" w:hAnsi="Times New Roman" w:cs="Times New Roman"/>
          <w:sz w:val="24"/>
          <w:szCs w:val="24"/>
          <w:lang w:val="es-MX"/>
        </w:rPr>
        <w:t xml:space="preserve"> (2012)</w:t>
      </w:r>
      <w:r w:rsidRPr="00C97452">
        <w:rPr>
          <w:rFonts w:ascii="Times New Roman" w:eastAsia="Calibri" w:hAnsi="Times New Roman" w:cs="Times New Roman"/>
          <w:sz w:val="24"/>
          <w:szCs w:val="24"/>
          <w:lang w:val="es-MX"/>
        </w:rPr>
        <w:t xml:space="preserve">. Presentación. En: Egea Jiménez, Carmen; Sánchez González, Diego y Soledad </w:t>
      </w:r>
      <w:proofErr w:type="spellStart"/>
      <w:r w:rsidRPr="00C97452">
        <w:rPr>
          <w:rFonts w:ascii="Times New Roman" w:eastAsia="Calibri" w:hAnsi="Times New Roman" w:cs="Times New Roman"/>
          <w:sz w:val="24"/>
          <w:szCs w:val="24"/>
          <w:lang w:val="es-MX"/>
        </w:rPr>
        <w:t>Suescún</w:t>
      </w:r>
      <w:proofErr w:type="spellEnd"/>
      <w:r w:rsidRPr="00C97452">
        <w:rPr>
          <w:rFonts w:ascii="Times New Roman" w:eastAsia="Calibri" w:hAnsi="Times New Roman" w:cs="Times New Roman"/>
          <w:sz w:val="24"/>
          <w:szCs w:val="24"/>
          <w:lang w:val="es-MX"/>
        </w:rPr>
        <w:t>, Javier Iván (</w:t>
      </w:r>
      <w:proofErr w:type="spellStart"/>
      <w:r w:rsidRPr="00C97452">
        <w:rPr>
          <w:rFonts w:ascii="Times New Roman" w:eastAsia="Calibri" w:hAnsi="Times New Roman" w:cs="Times New Roman"/>
          <w:sz w:val="24"/>
          <w:szCs w:val="24"/>
          <w:lang w:val="es-MX"/>
        </w:rPr>
        <w:t>Coords</w:t>
      </w:r>
      <w:proofErr w:type="spellEnd"/>
      <w:r w:rsidRPr="00C97452">
        <w:rPr>
          <w:rFonts w:ascii="Times New Roman" w:eastAsia="Calibri" w:hAnsi="Times New Roman" w:cs="Times New Roman"/>
          <w:sz w:val="24"/>
          <w:szCs w:val="24"/>
          <w:lang w:val="es-MX"/>
        </w:rPr>
        <w:t>.). Vulnerabilidad social: posicionamientos y ángulos desde geografías diferentes. Granada: Editorial Universidad de Granada.</w:t>
      </w:r>
    </w:p>
    <w:p w:rsidR="003749A5" w:rsidRPr="00C97452" w:rsidRDefault="003749A5"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SEP. Sistema Educativo de los Estados Unidos Mexicanos, principales cifras, ciclo escolar 2012-2013. México: Dirección General de Planeación y Estadística Educativa, Secretaría de Educación Pública, 2013.</w:t>
      </w:r>
    </w:p>
    <w:p w:rsidR="003749A5" w:rsidRPr="00C97452" w:rsidRDefault="003749A5"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Tortosa Blasco, José María</w:t>
      </w:r>
      <w:r w:rsidR="00804CE8" w:rsidRPr="00C97452">
        <w:rPr>
          <w:rFonts w:ascii="Times New Roman" w:eastAsia="Calibri" w:hAnsi="Times New Roman" w:cs="Times New Roman"/>
          <w:sz w:val="24"/>
          <w:szCs w:val="24"/>
          <w:lang w:val="es-MX"/>
        </w:rPr>
        <w:t xml:space="preserve"> (2003)</w:t>
      </w:r>
      <w:r w:rsidRPr="00C97452">
        <w:rPr>
          <w:rFonts w:ascii="Times New Roman" w:eastAsia="Calibri" w:hAnsi="Times New Roman" w:cs="Times New Roman"/>
          <w:sz w:val="24"/>
          <w:szCs w:val="24"/>
          <w:lang w:val="es-MX"/>
        </w:rPr>
        <w:t>. “La construcción social del enemigo”. En Convergencia, Universidad Autónoma del Estado de México/</w:t>
      </w:r>
      <w:proofErr w:type="spellStart"/>
      <w:r w:rsidRPr="00C97452">
        <w:rPr>
          <w:rFonts w:ascii="Times New Roman" w:eastAsia="Calibri" w:hAnsi="Times New Roman" w:cs="Times New Roman"/>
          <w:sz w:val="24"/>
          <w:szCs w:val="24"/>
          <w:lang w:val="es-MX"/>
        </w:rPr>
        <w:t>Universitat</w:t>
      </w:r>
      <w:proofErr w:type="spellEnd"/>
      <w:r w:rsidRPr="00C97452">
        <w:rPr>
          <w:rFonts w:ascii="Times New Roman" w:eastAsia="Calibri" w:hAnsi="Times New Roman" w:cs="Times New Roman"/>
          <w:sz w:val="24"/>
          <w:szCs w:val="24"/>
          <w:lang w:val="es-MX"/>
        </w:rPr>
        <w:t xml:space="preserve"> Jaume/Fundación Caja Castellón-</w:t>
      </w:r>
      <w:proofErr w:type="spellStart"/>
      <w:r w:rsidRPr="00C97452">
        <w:rPr>
          <w:rFonts w:ascii="Times New Roman" w:eastAsia="Calibri" w:hAnsi="Times New Roman" w:cs="Times New Roman"/>
          <w:sz w:val="24"/>
          <w:szCs w:val="24"/>
          <w:lang w:val="es-MX"/>
        </w:rPr>
        <w:t>Bancaja</w:t>
      </w:r>
      <w:proofErr w:type="spellEnd"/>
      <w:r w:rsidRPr="00C97452">
        <w:rPr>
          <w:rFonts w:ascii="Times New Roman" w:eastAsia="Calibri" w:hAnsi="Times New Roman" w:cs="Times New Roman"/>
          <w:sz w:val="24"/>
          <w:szCs w:val="24"/>
          <w:lang w:val="es-MX"/>
        </w:rPr>
        <w:t>, España, Toluca, México, septiembre-diciembre, año 10, número 33, pp. 177-195.</w:t>
      </w:r>
    </w:p>
    <w:p w:rsidR="00E1419E" w:rsidRPr="00C97452" w:rsidRDefault="00E1419E" w:rsidP="00C97452">
      <w:pPr>
        <w:spacing w:line="360" w:lineRule="auto"/>
        <w:ind w:left="993" w:hanging="993"/>
        <w:jc w:val="both"/>
        <w:rPr>
          <w:rFonts w:ascii="Times New Roman" w:eastAsia="Calibri" w:hAnsi="Times New Roman" w:cs="Times New Roman"/>
          <w:sz w:val="24"/>
          <w:szCs w:val="24"/>
          <w:lang w:val="es-MX"/>
        </w:rPr>
      </w:pPr>
    </w:p>
    <w:p w:rsidR="003749A5" w:rsidRPr="00C97452" w:rsidRDefault="003749A5"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t>Zermeño, Sergio</w:t>
      </w:r>
      <w:r w:rsidR="00804CE8" w:rsidRPr="00C97452">
        <w:rPr>
          <w:rFonts w:ascii="Times New Roman" w:eastAsia="Calibri" w:hAnsi="Times New Roman" w:cs="Times New Roman"/>
          <w:sz w:val="24"/>
          <w:szCs w:val="24"/>
          <w:lang w:val="es-MX"/>
        </w:rPr>
        <w:t xml:space="preserve"> (2004)</w:t>
      </w:r>
      <w:r w:rsidRPr="00C97452">
        <w:rPr>
          <w:rFonts w:ascii="Times New Roman" w:eastAsia="Calibri" w:hAnsi="Times New Roman" w:cs="Times New Roman"/>
          <w:sz w:val="24"/>
          <w:szCs w:val="24"/>
          <w:lang w:val="es-MX"/>
        </w:rPr>
        <w:t>. Género y maquila. El asesinato de mujeres en Ciudad Juárez. En: Gutiérrez Castañeda, Griselda (Coord.) Violencia sexista. Algunas claves para la comprensión del feminicidio en Ciudad Juárez. México: UNAM-PUEG.</w:t>
      </w:r>
    </w:p>
    <w:p w:rsidR="00A50270" w:rsidRPr="00C97452" w:rsidRDefault="00A50270" w:rsidP="00C97452">
      <w:pPr>
        <w:spacing w:line="360" w:lineRule="auto"/>
        <w:ind w:left="993" w:hanging="993"/>
        <w:jc w:val="both"/>
        <w:rPr>
          <w:rFonts w:ascii="Times New Roman" w:eastAsia="Calibri" w:hAnsi="Times New Roman" w:cs="Times New Roman"/>
          <w:sz w:val="24"/>
          <w:szCs w:val="24"/>
          <w:lang w:val="es-MX"/>
        </w:rPr>
      </w:pPr>
    </w:p>
    <w:p w:rsidR="00A50270" w:rsidRPr="00C97452" w:rsidRDefault="00A50270" w:rsidP="00C97452">
      <w:pPr>
        <w:spacing w:line="360" w:lineRule="auto"/>
        <w:ind w:left="993" w:hanging="993"/>
        <w:jc w:val="both"/>
        <w:rPr>
          <w:rFonts w:ascii="Times New Roman" w:eastAsia="Calibri" w:hAnsi="Times New Roman" w:cs="Times New Roman"/>
          <w:sz w:val="24"/>
          <w:szCs w:val="24"/>
          <w:lang w:val="es-MX"/>
        </w:rPr>
      </w:pPr>
      <w:r w:rsidRPr="00C97452">
        <w:rPr>
          <w:rFonts w:ascii="Times New Roman" w:eastAsia="Calibri" w:hAnsi="Times New Roman" w:cs="Times New Roman"/>
          <w:sz w:val="24"/>
          <w:szCs w:val="24"/>
          <w:lang w:val="es-MX"/>
        </w:rPr>
        <w:lastRenderedPageBreak/>
        <w:t xml:space="preserve">INEGI. Censo de Población y Vivienda (2010). México: Instituto Nacional de Estadística y Geografía. </w:t>
      </w:r>
      <w:hyperlink r:id="rId8" w:history="1">
        <w:r w:rsidRPr="00C97452">
          <w:rPr>
            <w:rFonts w:ascii="Times New Roman" w:eastAsia="Calibri" w:hAnsi="Times New Roman" w:cs="Times New Roman"/>
            <w:lang w:val="es-MX"/>
          </w:rPr>
          <w:t>http://www.inegi.org.mx/est/contenidos/proyectos/ccpv/cpv2010/Default.aspx</w:t>
        </w:r>
      </w:hyperlink>
    </w:p>
    <w:p w:rsidR="00A50270" w:rsidRDefault="00A50270" w:rsidP="00C97452">
      <w:pPr>
        <w:spacing w:line="360" w:lineRule="auto"/>
        <w:ind w:left="993" w:hanging="993"/>
        <w:jc w:val="both"/>
        <w:rPr>
          <w:rFonts w:ascii="Arial" w:hAnsi="Arial" w:cs="Arial"/>
          <w:sz w:val="24"/>
          <w:szCs w:val="24"/>
        </w:rPr>
      </w:pPr>
      <w:r w:rsidRPr="00C97452">
        <w:rPr>
          <w:rFonts w:ascii="Times New Roman" w:eastAsia="Calibri" w:hAnsi="Times New Roman" w:cs="Times New Roman"/>
          <w:sz w:val="24"/>
          <w:szCs w:val="24"/>
          <w:lang w:val="es-MX"/>
        </w:rPr>
        <w:t xml:space="preserve">SEGOB. DECRETO por el que se crea como órgano administrativo desconcentrado de la Secretaría de Gobernación, la Comisión para Prevenir y Erradicar la Violencia contra las Mujeres en Ciudad Juárez. Secretaría de Gobernación: Diario Oficial, miércoles 18 de febrero de 2004. Disponible en: </w:t>
      </w:r>
      <w:hyperlink r:id="rId9" w:history="1">
        <w:r w:rsidRPr="00C97452">
          <w:rPr>
            <w:rFonts w:ascii="Times New Roman" w:eastAsia="Calibri" w:hAnsi="Times New Roman" w:cs="Times New Roman"/>
            <w:lang w:val="es-MX"/>
          </w:rPr>
          <w:t>http://www.conavim.gob.mx/work/models/CONAVIM/Resource/530/1/images/Decreto_por_el_que_se_crea_como_OAD_de_la_SEGOB_la_Comision_para_Prevenir_Erradicar_la_Violencia_contra_Mujeres_Cd_Juarez.pdf</w:t>
        </w:r>
      </w:hyperlink>
      <w:r w:rsidRPr="00C97452">
        <w:rPr>
          <w:rFonts w:ascii="Times New Roman" w:eastAsia="Calibri" w:hAnsi="Times New Roman" w:cs="Times New Roman"/>
          <w:sz w:val="24"/>
          <w:szCs w:val="24"/>
          <w:lang w:val="es-MX"/>
        </w:rPr>
        <w:t xml:space="preserve">  [17 de mayo de 2014].</w:t>
      </w:r>
    </w:p>
    <w:p w:rsidR="00A50270" w:rsidRPr="00FE7C68" w:rsidRDefault="00A50270" w:rsidP="00F77202">
      <w:pPr>
        <w:spacing w:after="0" w:line="360" w:lineRule="auto"/>
        <w:jc w:val="both"/>
        <w:rPr>
          <w:rFonts w:ascii="Arial" w:hAnsi="Arial" w:cs="Arial"/>
          <w:sz w:val="24"/>
          <w:szCs w:val="24"/>
        </w:rPr>
      </w:pPr>
    </w:p>
    <w:sectPr w:rsidR="00A50270" w:rsidRPr="00FE7C68">
      <w:headerReference w:type="default" r:id="rId10"/>
      <w:footerReference w:type="default" r:id="rId11"/>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A3" w:rsidRDefault="00A00AA3" w:rsidP="003749A5">
      <w:pPr>
        <w:spacing w:after="0" w:line="240" w:lineRule="auto"/>
      </w:pPr>
      <w:r>
        <w:separator/>
      </w:r>
    </w:p>
  </w:endnote>
  <w:endnote w:type="continuationSeparator" w:id="0">
    <w:p w:rsidR="00A00AA3" w:rsidRDefault="00A00AA3" w:rsidP="0037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FC9" w:rsidRDefault="00C97452" w:rsidP="00C97452">
    <w:pPr>
      <w:pStyle w:val="Piedepgina"/>
      <w:jc w:val="center"/>
    </w:pPr>
    <w:r w:rsidRPr="006860CC">
      <w:rPr>
        <w:rFonts w:ascii="Calibri" w:hAnsi="Calibri" w:cs="Calibri"/>
        <w:b/>
      </w:rPr>
      <w:t>Vol. 4, Núm. 8                   Julio - Diciembre 2015                           RICSH</w:t>
    </w:r>
  </w:p>
  <w:p w:rsidR="00AB7FC9" w:rsidRDefault="00AB7F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A3" w:rsidRDefault="00A00AA3" w:rsidP="003749A5">
      <w:pPr>
        <w:spacing w:after="0" w:line="240" w:lineRule="auto"/>
      </w:pPr>
      <w:r>
        <w:separator/>
      </w:r>
    </w:p>
  </w:footnote>
  <w:footnote w:type="continuationSeparator" w:id="0">
    <w:p w:rsidR="00A00AA3" w:rsidRDefault="00A00AA3" w:rsidP="003749A5">
      <w:pPr>
        <w:spacing w:after="0" w:line="240" w:lineRule="auto"/>
      </w:pPr>
      <w:r>
        <w:continuationSeparator/>
      </w:r>
    </w:p>
  </w:footnote>
  <w:footnote w:id="1">
    <w:p w:rsidR="00AB7FC9" w:rsidRPr="004A2B2E" w:rsidRDefault="00AB7FC9" w:rsidP="003749A5">
      <w:pPr>
        <w:pStyle w:val="Textonotapie"/>
        <w:jc w:val="both"/>
      </w:pPr>
      <w:r w:rsidRPr="0081762E">
        <w:rPr>
          <w:rStyle w:val="Refdenotaalpie"/>
        </w:rPr>
        <w:sym w:font="Symbol" w:char="F02A"/>
      </w:r>
      <w:r>
        <w:t xml:space="preserve"> La investigación que da origen a este artículo fue financiado por PROMEP, </w:t>
      </w:r>
      <w:r w:rsidRPr="00A7464E">
        <w:t>Convenio PROMEP/103-5/10/8467, Folio UACJ-PTC-226</w:t>
      </w:r>
      <w:r>
        <w:t>.</w:t>
      </w:r>
    </w:p>
  </w:footnote>
  <w:footnote w:id="2">
    <w:p w:rsidR="00AB7FC9" w:rsidRPr="009B5EF9" w:rsidRDefault="00AB7FC9" w:rsidP="003749A5">
      <w:pPr>
        <w:pStyle w:val="Textonotapie"/>
        <w:jc w:val="both"/>
        <w:rPr>
          <w:lang w:val="es-MX"/>
        </w:rPr>
      </w:pPr>
      <w:r>
        <w:rPr>
          <w:rStyle w:val="Refdenotaalpie"/>
        </w:rPr>
        <w:footnoteRef/>
      </w:r>
      <w:r>
        <w:t xml:space="preserve"> </w:t>
      </w:r>
      <w:r w:rsidRPr="009B5EF9">
        <w:rPr>
          <w:lang w:val="es-MX"/>
        </w:rPr>
        <w:t xml:space="preserve">Hace referencia a lo que suele denominarse coloquialmente </w:t>
      </w:r>
      <w:r>
        <w:rPr>
          <w:lang w:val="es-MX"/>
        </w:rPr>
        <w:t>“irse de pinta” o no asistir a la escuela haciendo creer a sus padres que sí lo hicieron.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52" w:rsidRDefault="00C97452">
    <w:pPr>
      <w:pStyle w:val="Encabezado"/>
    </w:pPr>
    <w:r w:rsidRPr="006860CC">
      <w:rPr>
        <w:rFonts w:ascii="Calibri" w:hAnsi="Calibri" w:cs="Calibri"/>
        <w:b/>
        <w:i/>
      </w:rPr>
      <w:t xml:space="preserve">Revista Iberoamericana de las Ciencias Sociales y Humanísticas                                </w:t>
    </w:r>
    <w:r w:rsidRPr="006860CC">
      <w:rPr>
        <w:rFonts w:ascii="Calibri" w:hAnsi="Calibri" w:cs="Calibri"/>
        <w:b/>
      </w:rPr>
      <w:t>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E1D32"/>
    <w:multiLevelType w:val="hybridMultilevel"/>
    <w:tmpl w:val="2216F64E"/>
    <w:lvl w:ilvl="0" w:tplc="68088B3C">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0227BE"/>
    <w:multiLevelType w:val="hybridMultilevel"/>
    <w:tmpl w:val="C5D87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6B6C8F"/>
    <w:multiLevelType w:val="hybridMultilevel"/>
    <w:tmpl w:val="445CD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0293D"/>
    <w:multiLevelType w:val="hybridMultilevel"/>
    <w:tmpl w:val="B4B6443A"/>
    <w:lvl w:ilvl="0" w:tplc="0024B1B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D73A1E"/>
    <w:multiLevelType w:val="hybridMultilevel"/>
    <w:tmpl w:val="8C82D3EC"/>
    <w:lvl w:ilvl="0" w:tplc="94C4AF4E">
      <w:start w:val="1"/>
      <w:numFmt w:val="bullet"/>
      <w:lvlText w:val="•"/>
      <w:lvlJc w:val="left"/>
      <w:pPr>
        <w:tabs>
          <w:tab w:val="num" w:pos="720"/>
        </w:tabs>
        <w:ind w:left="720" w:hanging="360"/>
      </w:pPr>
      <w:rPr>
        <w:rFonts w:ascii="Times New Roman" w:hAnsi="Times New Roman" w:hint="default"/>
      </w:rPr>
    </w:lvl>
    <w:lvl w:ilvl="1" w:tplc="EC343B8C" w:tentative="1">
      <w:start w:val="1"/>
      <w:numFmt w:val="bullet"/>
      <w:lvlText w:val="•"/>
      <w:lvlJc w:val="left"/>
      <w:pPr>
        <w:tabs>
          <w:tab w:val="num" w:pos="1440"/>
        </w:tabs>
        <w:ind w:left="1440" w:hanging="360"/>
      </w:pPr>
      <w:rPr>
        <w:rFonts w:ascii="Times New Roman" w:hAnsi="Times New Roman" w:hint="default"/>
      </w:rPr>
    </w:lvl>
    <w:lvl w:ilvl="2" w:tplc="BE3CB92E" w:tentative="1">
      <w:start w:val="1"/>
      <w:numFmt w:val="bullet"/>
      <w:lvlText w:val="•"/>
      <w:lvlJc w:val="left"/>
      <w:pPr>
        <w:tabs>
          <w:tab w:val="num" w:pos="2160"/>
        </w:tabs>
        <w:ind w:left="2160" w:hanging="360"/>
      </w:pPr>
      <w:rPr>
        <w:rFonts w:ascii="Times New Roman" w:hAnsi="Times New Roman" w:hint="default"/>
      </w:rPr>
    </w:lvl>
    <w:lvl w:ilvl="3" w:tplc="C43CEA8C" w:tentative="1">
      <w:start w:val="1"/>
      <w:numFmt w:val="bullet"/>
      <w:lvlText w:val="•"/>
      <w:lvlJc w:val="left"/>
      <w:pPr>
        <w:tabs>
          <w:tab w:val="num" w:pos="2880"/>
        </w:tabs>
        <w:ind w:left="2880" w:hanging="360"/>
      </w:pPr>
      <w:rPr>
        <w:rFonts w:ascii="Times New Roman" w:hAnsi="Times New Roman" w:hint="default"/>
      </w:rPr>
    </w:lvl>
    <w:lvl w:ilvl="4" w:tplc="B0E4B75C" w:tentative="1">
      <w:start w:val="1"/>
      <w:numFmt w:val="bullet"/>
      <w:lvlText w:val="•"/>
      <w:lvlJc w:val="left"/>
      <w:pPr>
        <w:tabs>
          <w:tab w:val="num" w:pos="3600"/>
        </w:tabs>
        <w:ind w:left="3600" w:hanging="360"/>
      </w:pPr>
      <w:rPr>
        <w:rFonts w:ascii="Times New Roman" w:hAnsi="Times New Roman" w:hint="default"/>
      </w:rPr>
    </w:lvl>
    <w:lvl w:ilvl="5" w:tplc="ECDA11A0" w:tentative="1">
      <w:start w:val="1"/>
      <w:numFmt w:val="bullet"/>
      <w:lvlText w:val="•"/>
      <w:lvlJc w:val="left"/>
      <w:pPr>
        <w:tabs>
          <w:tab w:val="num" w:pos="4320"/>
        </w:tabs>
        <w:ind w:left="4320" w:hanging="360"/>
      </w:pPr>
      <w:rPr>
        <w:rFonts w:ascii="Times New Roman" w:hAnsi="Times New Roman" w:hint="default"/>
      </w:rPr>
    </w:lvl>
    <w:lvl w:ilvl="6" w:tplc="7C5652D6" w:tentative="1">
      <w:start w:val="1"/>
      <w:numFmt w:val="bullet"/>
      <w:lvlText w:val="•"/>
      <w:lvlJc w:val="left"/>
      <w:pPr>
        <w:tabs>
          <w:tab w:val="num" w:pos="5040"/>
        </w:tabs>
        <w:ind w:left="5040" w:hanging="360"/>
      </w:pPr>
      <w:rPr>
        <w:rFonts w:ascii="Times New Roman" w:hAnsi="Times New Roman" w:hint="default"/>
      </w:rPr>
    </w:lvl>
    <w:lvl w:ilvl="7" w:tplc="58E47910" w:tentative="1">
      <w:start w:val="1"/>
      <w:numFmt w:val="bullet"/>
      <w:lvlText w:val="•"/>
      <w:lvlJc w:val="left"/>
      <w:pPr>
        <w:tabs>
          <w:tab w:val="num" w:pos="5760"/>
        </w:tabs>
        <w:ind w:left="5760" w:hanging="360"/>
      </w:pPr>
      <w:rPr>
        <w:rFonts w:ascii="Times New Roman" w:hAnsi="Times New Roman" w:hint="default"/>
      </w:rPr>
    </w:lvl>
    <w:lvl w:ilvl="8" w:tplc="C5BC427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FF64C9B"/>
    <w:multiLevelType w:val="hybridMultilevel"/>
    <w:tmpl w:val="53FC7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A5"/>
    <w:rsid w:val="000038F9"/>
    <w:rsid w:val="00013782"/>
    <w:rsid w:val="00013F02"/>
    <w:rsid w:val="00020982"/>
    <w:rsid w:val="00022F18"/>
    <w:rsid w:val="000445E5"/>
    <w:rsid w:val="000449A7"/>
    <w:rsid w:val="00045CEC"/>
    <w:rsid w:val="00046D94"/>
    <w:rsid w:val="00050C7B"/>
    <w:rsid w:val="00064465"/>
    <w:rsid w:val="0007168A"/>
    <w:rsid w:val="000733CB"/>
    <w:rsid w:val="0007495E"/>
    <w:rsid w:val="00077D30"/>
    <w:rsid w:val="00080BE2"/>
    <w:rsid w:val="00081DE4"/>
    <w:rsid w:val="00082659"/>
    <w:rsid w:val="000849AE"/>
    <w:rsid w:val="0008552D"/>
    <w:rsid w:val="00085E22"/>
    <w:rsid w:val="0009748D"/>
    <w:rsid w:val="000A6AEB"/>
    <w:rsid w:val="000B74AB"/>
    <w:rsid w:val="000C1330"/>
    <w:rsid w:val="000C3C4B"/>
    <w:rsid w:val="000D0001"/>
    <w:rsid w:val="000D0519"/>
    <w:rsid w:val="000D24CD"/>
    <w:rsid w:val="000D36B9"/>
    <w:rsid w:val="000E112F"/>
    <w:rsid w:val="000E4066"/>
    <w:rsid w:val="000F11F7"/>
    <w:rsid w:val="00105839"/>
    <w:rsid w:val="001059FF"/>
    <w:rsid w:val="0010631C"/>
    <w:rsid w:val="001071AD"/>
    <w:rsid w:val="001104A7"/>
    <w:rsid w:val="00110876"/>
    <w:rsid w:val="00110B92"/>
    <w:rsid w:val="001145EB"/>
    <w:rsid w:val="00116CE0"/>
    <w:rsid w:val="00124ECC"/>
    <w:rsid w:val="00130B06"/>
    <w:rsid w:val="00131244"/>
    <w:rsid w:val="0013589E"/>
    <w:rsid w:val="001363A4"/>
    <w:rsid w:val="001366F1"/>
    <w:rsid w:val="001369AC"/>
    <w:rsid w:val="00136F53"/>
    <w:rsid w:val="0014090B"/>
    <w:rsid w:val="00142DC3"/>
    <w:rsid w:val="00143F7D"/>
    <w:rsid w:val="00144247"/>
    <w:rsid w:val="00145244"/>
    <w:rsid w:val="00145B6B"/>
    <w:rsid w:val="00146E4F"/>
    <w:rsid w:val="00151AB3"/>
    <w:rsid w:val="001566A3"/>
    <w:rsid w:val="00160BD7"/>
    <w:rsid w:val="00164A22"/>
    <w:rsid w:val="00170405"/>
    <w:rsid w:val="001835E8"/>
    <w:rsid w:val="00190BF7"/>
    <w:rsid w:val="00191B17"/>
    <w:rsid w:val="001946CE"/>
    <w:rsid w:val="0019504E"/>
    <w:rsid w:val="001A77DA"/>
    <w:rsid w:val="001B14F7"/>
    <w:rsid w:val="001B4B18"/>
    <w:rsid w:val="001B77D5"/>
    <w:rsid w:val="001C0211"/>
    <w:rsid w:val="001C6118"/>
    <w:rsid w:val="001C7069"/>
    <w:rsid w:val="001D1243"/>
    <w:rsid w:val="001D1DC1"/>
    <w:rsid w:val="001D77B5"/>
    <w:rsid w:val="001E3D32"/>
    <w:rsid w:val="001E3E78"/>
    <w:rsid w:val="001E4196"/>
    <w:rsid w:val="001E583B"/>
    <w:rsid w:val="001F4AA5"/>
    <w:rsid w:val="001F7F87"/>
    <w:rsid w:val="00205D2D"/>
    <w:rsid w:val="00221EA4"/>
    <w:rsid w:val="002227EE"/>
    <w:rsid w:val="00223F51"/>
    <w:rsid w:val="00223FDE"/>
    <w:rsid w:val="00232452"/>
    <w:rsid w:val="00232EE8"/>
    <w:rsid w:val="002336B2"/>
    <w:rsid w:val="0024576D"/>
    <w:rsid w:val="00245DC0"/>
    <w:rsid w:val="002465D8"/>
    <w:rsid w:val="0025610B"/>
    <w:rsid w:val="00256E18"/>
    <w:rsid w:val="00266439"/>
    <w:rsid w:val="002678EE"/>
    <w:rsid w:val="002743C2"/>
    <w:rsid w:val="00284368"/>
    <w:rsid w:val="002929DD"/>
    <w:rsid w:val="00296A86"/>
    <w:rsid w:val="00297EC6"/>
    <w:rsid w:val="002A19BD"/>
    <w:rsid w:val="002A56C7"/>
    <w:rsid w:val="002C0303"/>
    <w:rsid w:val="002C1DF8"/>
    <w:rsid w:val="002C281D"/>
    <w:rsid w:val="002D0A00"/>
    <w:rsid w:val="002D1772"/>
    <w:rsid w:val="002D5323"/>
    <w:rsid w:val="002D5590"/>
    <w:rsid w:val="002D73B1"/>
    <w:rsid w:val="002F054D"/>
    <w:rsid w:val="002F4B4C"/>
    <w:rsid w:val="00302A11"/>
    <w:rsid w:val="00305C5D"/>
    <w:rsid w:val="003109D3"/>
    <w:rsid w:val="00315950"/>
    <w:rsid w:val="00324AF6"/>
    <w:rsid w:val="00327A13"/>
    <w:rsid w:val="003314AE"/>
    <w:rsid w:val="003322A8"/>
    <w:rsid w:val="00335616"/>
    <w:rsid w:val="00343A2D"/>
    <w:rsid w:val="00344BCF"/>
    <w:rsid w:val="00346A34"/>
    <w:rsid w:val="00351717"/>
    <w:rsid w:val="00352655"/>
    <w:rsid w:val="00354F23"/>
    <w:rsid w:val="00360108"/>
    <w:rsid w:val="0036491F"/>
    <w:rsid w:val="00365A79"/>
    <w:rsid w:val="003749A5"/>
    <w:rsid w:val="00375923"/>
    <w:rsid w:val="003778FF"/>
    <w:rsid w:val="0038069A"/>
    <w:rsid w:val="00383DD6"/>
    <w:rsid w:val="00387D52"/>
    <w:rsid w:val="00391282"/>
    <w:rsid w:val="00393D2F"/>
    <w:rsid w:val="00394169"/>
    <w:rsid w:val="003978A1"/>
    <w:rsid w:val="003A2078"/>
    <w:rsid w:val="003A2840"/>
    <w:rsid w:val="003A36A3"/>
    <w:rsid w:val="003A6476"/>
    <w:rsid w:val="003B3303"/>
    <w:rsid w:val="003C1CAA"/>
    <w:rsid w:val="003C337B"/>
    <w:rsid w:val="003C3C6F"/>
    <w:rsid w:val="003C65D5"/>
    <w:rsid w:val="003C76C2"/>
    <w:rsid w:val="003D21DD"/>
    <w:rsid w:val="003D2244"/>
    <w:rsid w:val="003D4394"/>
    <w:rsid w:val="003D5019"/>
    <w:rsid w:val="003D5F25"/>
    <w:rsid w:val="003E424A"/>
    <w:rsid w:val="003E6EA1"/>
    <w:rsid w:val="003F31CF"/>
    <w:rsid w:val="003F555B"/>
    <w:rsid w:val="00400914"/>
    <w:rsid w:val="00417FEB"/>
    <w:rsid w:val="0042133D"/>
    <w:rsid w:val="004215E7"/>
    <w:rsid w:val="00435600"/>
    <w:rsid w:val="0043737F"/>
    <w:rsid w:val="00454F53"/>
    <w:rsid w:val="00457146"/>
    <w:rsid w:val="00460DCA"/>
    <w:rsid w:val="00462CAF"/>
    <w:rsid w:val="00466D90"/>
    <w:rsid w:val="00467DE7"/>
    <w:rsid w:val="00470259"/>
    <w:rsid w:val="004740AC"/>
    <w:rsid w:val="00475183"/>
    <w:rsid w:val="00475863"/>
    <w:rsid w:val="0048071D"/>
    <w:rsid w:val="0048281C"/>
    <w:rsid w:val="004828C5"/>
    <w:rsid w:val="00482ACE"/>
    <w:rsid w:val="00483AFF"/>
    <w:rsid w:val="00490780"/>
    <w:rsid w:val="004B091A"/>
    <w:rsid w:val="004B2FEC"/>
    <w:rsid w:val="004B41B5"/>
    <w:rsid w:val="004B4B25"/>
    <w:rsid w:val="004C2F42"/>
    <w:rsid w:val="004C3062"/>
    <w:rsid w:val="004D197C"/>
    <w:rsid w:val="004E0733"/>
    <w:rsid w:val="004F3E07"/>
    <w:rsid w:val="004F56BA"/>
    <w:rsid w:val="004F5B19"/>
    <w:rsid w:val="00500B4C"/>
    <w:rsid w:val="00505EB3"/>
    <w:rsid w:val="00510F90"/>
    <w:rsid w:val="005158DE"/>
    <w:rsid w:val="00517241"/>
    <w:rsid w:val="0052161E"/>
    <w:rsid w:val="005245F5"/>
    <w:rsid w:val="00524939"/>
    <w:rsid w:val="0053536F"/>
    <w:rsid w:val="005358E7"/>
    <w:rsid w:val="005378D6"/>
    <w:rsid w:val="00545B92"/>
    <w:rsid w:val="00547CD4"/>
    <w:rsid w:val="0055422E"/>
    <w:rsid w:val="00554844"/>
    <w:rsid w:val="0055501A"/>
    <w:rsid w:val="00557B79"/>
    <w:rsid w:val="00562EDD"/>
    <w:rsid w:val="00571818"/>
    <w:rsid w:val="00571C44"/>
    <w:rsid w:val="00572E24"/>
    <w:rsid w:val="00574DCF"/>
    <w:rsid w:val="00581C7E"/>
    <w:rsid w:val="00590BAE"/>
    <w:rsid w:val="005970FA"/>
    <w:rsid w:val="005A4C7A"/>
    <w:rsid w:val="005A7C33"/>
    <w:rsid w:val="005B15A9"/>
    <w:rsid w:val="005B2D4A"/>
    <w:rsid w:val="005B3F2D"/>
    <w:rsid w:val="005B671F"/>
    <w:rsid w:val="005B7A6A"/>
    <w:rsid w:val="005C3AB4"/>
    <w:rsid w:val="005C4938"/>
    <w:rsid w:val="005C5E5A"/>
    <w:rsid w:val="005D2A53"/>
    <w:rsid w:val="005D5206"/>
    <w:rsid w:val="005E0605"/>
    <w:rsid w:val="005F2497"/>
    <w:rsid w:val="005F26CD"/>
    <w:rsid w:val="005F42BF"/>
    <w:rsid w:val="005F5DD4"/>
    <w:rsid w:val="005F7AB9"/>
    <w:rsid w:val="006062E2"/>
    <w:rsid w:val="00606893"/>
    <w:rsid w:val="00606B46"/>
    <w:rsid w:val="006125C6"/>
    <w:rsid w:val="00617E35"/>
    <w:rsid w:val="00621380"/>
    <w:rsid w:val="00622876"/>
    <w:rsid w:val="0064043F"/>
    <w:rsid w:val="00646680"/>
    <w:rsid w:val="006515AD"/>
    <w:rsid w:val="0066068A"/>
    <w:rsid w:val="006648AE"/>
    <w:rsid w:val="0066684A"/>
    <w:rsid w:val="00667B61"/>
    <w:rsid w:val="00671813"/>
    <w:rsid w:val="006736E5"/>
    <w:rsid w:val="00674793"/>
    <w:rsid w:val="006772F0"/>
    <w:rsid w:val="00677B3C"/>
    <w:rsid w:val="00680550"/>
    <w:rsid w:val="00682966"/>
    <w:rsid w:val="00682A99"/>
    <w:rsid w:val="00684461"/>
    <w:rsid w:val="006847DF"/>
    <w:rsid w:val="00691569"/>
    <w:rsid w:val="006A34B4"/>
    <w:rsid w:val="006A4E71"/>
    <w:rsid w:val="006B1056"/>
    <w:rsid w:val="006C54BF"/>
    <w:rsid w:val="006D6D94"/>
    <w:rsid w:val="006D789E"/>
    <w:rsid w:val="006E1C71"/>
    <w:rsid w:val="006E6A28"/>
    <w:rsid w:val="006F2DA0"/>
    <w:rsid w:val="006F35BA"/>
    <w:rsid w:val="006F37B1"/>
    <w:rsid w:val="00703217"/>
    <w:rsid w:val="007049EC"/>
    <w:rsid w:val="00704AFB"/>
    <w:rsid w:val="00704DF9"/>
    <w:rsid w:val="00705BD7"/>
    <w:rsid w:val="00706F2C"/>
    <w:rsid w:val="0071542F"/>
    <w:rsid w:val="00716F45"/>
    <w:rsid w:val="00717BAA"/>
    <w:rsid w:val="00717F78"/>
    <w:rsid w:val="007269BE"/>
    <w:rsid w:val="00730D08"/>
    <w:rsid w:val="00730D83"/>
    <w:rsid w:val="00731266"/>
    <w:rsid w:val="007315BA"/>
    <w:rsid w:val="0075330C"/>
    <w:rsid w:val="007633FF"/>
    <w:rsid w:val="00764452"/>
    <w:rsid w:val="0077086A"/>
    <w:rsid w:val="0077261C"/>
    <w:rsid w:val="0078035D"/>
    <w:rsid w:val="0078058C"/>
    <w:rsid w:val="007862C6"/>
    <w:rsid w:val="007874F6"/>
    <w:rsid w:val="00787D55"/>
    <w:rsid w:val="00790587"/>
    <w:rsid w:val="00790B1A"/>
    <w:rsid w:val="00791456"/>
    <w:rsid w:val="0079218A"/>
    <w:rsid w:val="007951C1"/>
    <w:rsid w:val="007953D6"/>
    <w:rsid w:val="00795821"/>
    <w:rsid w:val="007A003C"/>
    <w:rsid w:val="007A71C4"/>
    <w:rsid w:val="007B0AF4"/>
    <w:rsid w:val="007B4C22"/>
    <w:rsid w:val="007C0E1C"/>
    <w:rsid w:val="007C3565"/>
    <w:rsid w:val="007C39F0"/>
    <w:rsid w:val="007C59D3"/>
    <w:rsid w:val="007D347A"/>
    <w:rsid w:val="007D373F"/>
    <w:rsid w:val="007D504C"/>
    <w:rsid w:val="007D6F18"/>
    <w:rsid w:val="007D742E"/>
    <w:rsid w:val="007E7164"/>
    <w:rsid w:val="007E7942"/>
    <w:rsid w:val="007F5980"/>
    <w:rsid w:val="007F6777"/>
    <w:rsid w:val="007F6864"/>
    <w:rsid w:val="00803744"/>
    <w:rsid w:val="00804CE8"/>
    <w:rsid w:val="00806D8D"/>
    <w:rsid w:val="008074E7"/>
    <w:rsid w:val="00810F63"/>
    <w:rsid w:val="008115A3"/>
    <w:rsid w:val="00817AB6"/>
    <w:rsid w:val="0082007C"/>
    <w:rsid w:val="008228F3"/>
    <w:rsid w:val="008260D3"/>
    <w:rsid w:val="0083113A"/>
    <w:rsid w:val="00832968"/>
    <w:rsid w:val="0083382D"/>
    <w:rsid w:val="00835598"/>
    <w:rsid w:val="00840A36"/>
    <w:rsid w:val="00844980"/>
    <w:rsid w:val="00846616"/>
    <w:rsid w:val="008513F0"/>
    <w:rsid w:val="00851CD5"/>
    <w:rsid w:val="00854FF6"/>
    <w:rsid w:val="00862C6C"/>
    <w:rsid w:val="008667DD"/>
    <w:rsid w:val="0087043A"/>
    <w:rsid w:val="00875D35"/>
    <w:rsid w:val="00880FDD"/>
    <w:rsid w:val="00881034"/>
    <w:rsid w:val="00881BED"/>
    <w:rsid w:val="0089086F"/>
    <w:rsid w:val="00894529"/>
    <w:rsid w:val="00897D10"/>
    <w:rsid w:val="008A4495"/>
    <w:rsid w:val="008B2BD3"/>
    <w:rsid w:val="008C04E3"/>
    <w:rsid w:val="008C0D5E"/>
    <w:rsid w:val="008C601D"/>
    <w:rsid w:val="008D4F44"/>
    <w:rsid w:val="008E1E1C"/>
    <w:rsid w:val="008E3CEB"/>
    <w:rsid w:val="008E7881"/>
    <w:rsid w:val="008F68DF"/>
    <w:rsid w:val="00901B6C"/>
    <w:rsid w:val="009053A1"/>
    <w:rsid w:val="00906398"/>
    <w:rsid w:val="00917D53"/>
    <w:rsid w:val="0092392D"/>
    <w:rsid w:val="00925AD4"/>
    <w:rsid w:val="00925F6E"/>
    <w:rsid w:val="009309BD"/>
    <w:rsid w:val="00941DDC"/>
    <w:rsid w:val="00942E30"/>
    <w:rsid w:val="009477A5"/>
    <w:rsid w:val="00952B52"/>
    <w:rsid w:val="00954277"/>
    <w:rsid w:val="00954542"/>
    <w:rsid w:val="009575B9"/>
    <w:rsid w:val="009639FE"/>
    <w:rsid w:val="00967ADF"/>
    <w:rsid w:val="00971D9A"/>
    <w:rsid w:val="00973F30"/>
    <w:rsid w:val="00974712"/>
    <w:rsid w:val="00976BAD"/>
    <w:rsid w:val="00984507"/>
    <w:rsid w:val="00987B03"/>
    <w:rsid w:val="009934C9"/>
    <w:rsid w:val="00993C29"/>
    <w:rsid w:val="00996AEF"/>
    <w:rsid w:val="00997A48"/>
    <w:rsid w:val="009A248A"/>
    <w:rsid w:val="009A3C75"/>
    <w:rsid w:val="009A5507"/>
    <w:rsid w:val="009B2737"/>
    <w:rsid w:val="009B6FB4"/>
    <w:rsid w:val="009C2740"/>
    <w:rsid w:val="009C2AAC"/>
    <w:rsid w:val="009C41A6"/>
    <w:rsid w:val="009C4B23"/>
    <w:rsid w:val="009D0A88"/>
    <w:rsid w:val="009D3857"/>
    <w:rsid w:val="009D3B59"/>
    <w:rsid w:val="009D5230"/>
    <w:rsid w:val="009D7C7C"/>
    <w:rsid w:val="009F0BA7"/>
    <w:rsid w:val="009F7A45"/>
    <w:rsid w:val="00A00AA3"/>
    <w:rsid w:val="00A07E2B"/>
    <w:rsid w:val="00A10AC3"/>
    <w:rsid w:val="00A123F1"/>
    <w:rsid w:val="00A14818"/>
    <w:rsid w:val="00A15226"/>
    <w:rsid w:val="00A17EC6"/>
    <w:rsid w:val="00A233BD"/>
    <w:rsid w:val="00A23A2F"/>
    <w:rsid w:val="00A23B2F"/>
    <w:rsid w:val="00A30C0E"/>
    <w:rsid w:val="00A31A3C"/>
    <w:rsid w:val="00A3656D"/>
    <w:rsid w:val="00A4409C"/>
    <w:rsid w:val="00A45C02"/>
    <w:rsid w:val="00A46234"/>
    <w:rsid w:val="00A46E7A"/>
    <w:rsid w:val="00A47F0C"/>
    <w:rsid w:val="00A50270"/>
    <w:rsid w:val="00A54B05"/>
    <w:rsid w:val="00A555B0"/>
    <w:rsid w:val="00A57DEF"/>
    <w:rsid w:val="00A62E80"/>
    <w:rsid w:val="00A6441A"/>
    <w:rsid w:val="00A6654B"/>
    <w:rsid w:val="00A72253"/>
    <w:rsid w:val="00A75567"/>
    <w:rsid w:val="00A92834"/>
    <w:rsid w:val="00A95227"/>
    <w:rsid w:val="00AA5DF5"/>
    <w:rsid w:val="00AA5FD2"/>
    <w:rsid w:val="00AA781F"/>
    <w:rsid w:val="00AB101B"/>
    <w:rsid w:val="00AB166D"/>
    <w:rsid w:val="00AB2DE2"/>
    <w:rsid w:val="00AB4293"/>
    <w:rsid w:val="00AB44C7"/>
    <w:rsid w:val="00AB73FB"/>
    <w:rsid w:val="00AB7FC9"/>
    <w:rsid w:val="00AC6D20"/>
    <w:rsid w:val="00AC6D76"/>
    <w:rsid w:val="00AD1148"/>
    <w:rsid w:val="00AD3FC7"/>
    <w:rsid w:val="00AD7DB6"/>
    <w:rsid w:val="00AE6AD1"/>
    <w:rsid w:val="00AE7A71"/>
    <w:rsid w:val="00AF2BAF"/>
    <w:rsid w:val="00AF6CD6"/>
    <w:rsid w:val="00AF6E6C"/>
    <w:rsid w:val="00B048AF"/>
    <w:rsid w:val="00B10CC7"/>
    <w:rsid w:val="00B114AB"/>
    <w:rsid w:val="00B11660"/>
    <w:rsid w:val="00B14168"/>
    <w:rsid w:val="00B15E52"/>
    <w:rsid w:val="00B17F15"/>
    <w:rsid w:val="00B231E2"/>
    <w:rsid w:val="00B27A6F"/>
    <w:rsid w:val="00B355FB"/>
    <w:rsid w:val="00B3622E"/>
    <w:rsid w:val="00B50881"/>
    <w:rsid w:val="00B538D2"/>
    <w:rsid w:val="00B55849"/>
    <w:rsid w:val="00B56673"/>
    <w:rsid w:val="00B60994"/>
    <w:rsid w:val="00B6380C"/>
    <w:rsid w:val="00B654C5"/>
    <w:rsid w:val="00B706A8"/>
    <w:rsid w:val="00B76490"/>
    <w:rsid w:val="00B76ABD"/>
    <w:rsid w:val="00B82CD7"/>
    <w:rsid w:val="00B90D2D"/>
    <w:rsid w:val="00B96694"/>
    <w:rsid w:val="00BA0506"/>
    <w:rsid w:val="00BA196A"/>
    <w:rsid w:val="00BA6738"/>
    <w:rsid w:val="00BB493C"/>
    <w:rsid w:val="00BB661D"/>
    <w:rsid w:val="00BC64B8"/>
    <w:rsid w:val="00BC6636"/>
    <w:rsid w:val="00BD2468"/>
    <w:rsid w:val="00BD7EE0"/>
    <w:rsid w:val="00BE3D09"/>
    <w:rsid w:val="00BE4063"/>
    <w:rsid w:val="00BE5C49"/>
    <w:rsid w:val="00BF0418"/>
    <w:rsid w:val="00BF5387"/>
    <w:rsid w:val="00BF6636"/>
    <w:rsid w:val="00BF7C72"/>
    <w:rsid w:val="00C03F42"/>
    <w:rsid w:val="00C044BF"/>
    <w:rsid w:val="00C06BFC"/>
    <w:rsid w:val="00C16213"/>
    <w:rsid w:val="00C17758"/>
    <w:rsid w:val="00C2425C"/>
    <w:rsid w:val="00C25371"/>
    <w:rsid w:val="00C25520"/>
    <w:rsid w:val="00C2573C"/>
    <w:rsid w:val="00C30429"/>
    <w:rsid w:val="00C30EA0"/>
    <w:rsid w:val="00C362BB"/>
    <w:rsid w:val="00C36AB0"/>
    <w:rsid w:val="00C37DBE"/>
    <w:rsid w:val="00C406CE"/>
    <w:rsid w:val="00C41722"/>
    <w:rsid w:val="00C42CED"/>
    <w:rsid w:val="00C46FE7"/>
    <w:rsid w:val="00C52216"/>
    <w:rsid w:val="00C555EF"/>
    <w:rsid w:val="00C56E98"/>
    <w:rsid w:val="00C57E91"/>
    <w:rsid w:val="00C627B9"/>
    <w:rsid w:val="00C630F3"/>
    <w:rsid w:val="00C648AA"/>
    <w:rsid w:val="00C70F3A"/>
    <w:rsid w:val="00C752BC"/>
    <w:rsid w:val="00C776EE"/>
    <w:rsid w:val="00C859AA"/>
    <w:rsid w:val="00C903DF"/>
    <w:rsid w:val="00C92169"/>
    <w:rsid w:val="00C942C0"/>
    <w:rsid w:val="00C94787"/>
    <w:rsid w:val="00C94CC4"/>
    <w:rsid w:val="00C96922"/>
    <w:rsid w:val="00C97452"/>
    <w:rsid w:val="00CB64BC"/>
    <w:rsid w:val="00CB7495"/>
    <w:rsid w:val="00CC004F"/>
    <w:rsid w:val="00CC04DA"/>
    <w:rsid w:val="00CD0932"/>
    <w:rsid w:val="00CD1F57"/>
    <w:rsid w:val="00CD3AFA"/>
    <w:rsid w:val="00CD6813"/>
    <w:rsid w:val="00CD6EC7"/>
    <w:rsid w:val="00CD7ABC"/>
    <w:rsid w:val="00CE2A6C"/>
    <w:rsid w:val="00CE4EE5"/>
    <w:rsid w:val="00CE7157"/>
    <w:rsid w:val="00CF09A3"/>
    <w:rsid w:val="00CF399D"/>
    <w:rsid w:val="00D00EC2"/>
    <w:rsid w:val="00D02577"/>
    <w:rsid w:val="00D03560"/>
    <w:rsid w:val="00D04A46"/>
    <w:rsid w:val="00D05A8D"/>
    <w:rsid w:val="00D06B51"/>
    <w:rsid w:val="00D137BC"/>
    <w:rsid w:val="00D157F9"/>
    <w:rsid w:val="00D15AB4"/>
    <w:rsid w:val="00D2232A"/>
    <w:rsid w:val="00D236CB"/>
    <w:rsid w:val="00D24AA4"/>
    <w:rsid w:val="00D2707E"/>
    <w:rsid w:val="00D376F9"/>
    <w:rsid w:val="00D54675"/>
    <w:rsid w:val="00D60346"/>
    <w:rsid w:val="00D61BAC"/>
    <w:rsid w:val="00D6536B"/>
    <w:rsid w:val="00D75CFE"/>
    <w:rsid w:val="00D842A8"/>
    <w:rsid w:val="00D857DF"/>
    <w:rsid w:val="00D87D26"/>
    <w:rsid w:val="00D92102"/>
    <w:rsid w:val="00D92557"/>
    <w:rsid w:val="00D925BD"/>
    <w:rsid w:val="00D94C6F"/>
    <w:rsid w:val="00DA5073"/>
    <w:rsid w:val="00DB1B6B"/>
    <w:rsid w:val="00DB48ED"/>
    <w:rsid w:val="00DC1238"/>
    <w:rsid w:val="00DC3985"/>
    <w:rsid w:val="00DC6D13"/>
    <w:rsid w:val="00DD32CA"/>
    <w:rsid w:val="00DD70C7"/>
    <w:rsid w:val="00DE65CF"/>
    <w:rsid w:val="00DF05E1"/>
    <w:rsid w:val="00DF106E"/>
    <w:rsid w:val="00DF196A"/>
    <w:rsid w:val="00DF2B6D"/>
    <w:rsid w:val="00DF538E"/>
    <w:rsid w:val="00DF5AF2"/>
    <w:rsid w:val="00E019F2"/>
    <w:rsid w:val="00E04BB0"/>
    <w:rsid w:val="00E1173B"/>
    <w:rsid w:val="00E138AA"/>
    <w:rsid w:val="00E13A16"/>
    <w:rsid w:val="00E140B7"/>
    <w:rsid w:val="00E1419E"/>
    <w:rsid w:val="00E2350B"/>
    <w:rsid w:val="00E2600B"/>
    <w:rsid w:val="00E337BC"/>
    <w:rsid w:val="00E40290"/>
    <w:rsid w:val="00E4085D"/>
    <w:rsid w:val="00E41409"/>
    <w:rsid w:val="00E437FE"/>
    <w:rsid w:val="00E44830"/>
    <w:rsid w:val="00E469D9"/>
    <w:rsid w:val="00E47608"/>
    <w:rsid w:val="00E520B0"/>
    <w:rsid w:val="00E57490"/>
    <w:rsid w:val="00E612DE"/>
    <w:rsid w:val="00E622FE"/>
    <w:rsid w:val="00E66497"/>
    <w:rsid w:val="00E67513"/>
    <w:rsid w:val="00E73292"/>
    <w:rsid w:val="00E737B1"/>
    <w:rsid w:val="00E87FC9"/>
    <w:rsid w:val="00E904A0"/>
    <w:rsid w:val="00E93A94"/>
    <w:rsid w:val="00EA2A48"/>
    <w:rsid w:val="00EA54AD"/>
    <w:rsid w:val="00EB130E"/>
    <w:rsid w:val="00EB496C"/>
    <w:rsid w:val="00EB71B3"/>
    <w:rsid w:val="00ED37AA"/>
    <w:rsid w:val="00ED3D3E"/>
    <w:rsid w:val="00ED3DE0"/>
    <w:rsid w:val="00ED531C"/>
    <w:rsid w:val="00EE4375"/>
    <w:rsid w:val="00EE55A8"/>
    <w:rsid w:val="00EF37BC"/>
    <w:rsid w:val="00EF539C"/>
    <w:rsid w:val="00EF63E3"/>
    <w:rsid w:val="00F01144"/>
    <w:rsid w:val="00F12385"/>
    <w:rsid w:val="00F2088A"/>
    <w:rsid w:val="00F23F66"/>
    <w:rsid w:val="00F30E40"/>
    <w:rsid w:val="00F36668"/>
    <w:rsid w:val="00F40139"/>
    <w:rsid w:val="00F40349"/>
    <w:rsid w:val="00F40D37"/>
    <w:rsid w:val="00F45A90"/>
    <w:rsid w:val="00F4667F"/>
    <w:rsid w:val="00F53064"/>
    <w:rsid w:val="00F5337F"/>
    <w:rsid w:val="00F53F18"/>
    <w:rsid w:val="00F55A3E"/>
    <w:rsid w:val="00F6125D"/>
    <w:rsid w:val="00F66D96"/>
    <w:rsid w:val="00F67FB3"/>
    <w:rsid w:val="00F735FD"/>
    <w:rsid w:val="00F74476"/>
    <w:rsid w:val="00F77202"/>
    <w:rsid w:val="00F81BE2"/>
    <w:rsid w:val="00F86A44"/>
    <w:rsid w:val="00F95863"/>
    <w:rsid w:val="00FA4932"/>
    <w:rsid w:val="00FB34EE"/>
    <w:rsid w:val="00FB758B"/>
    <w:rsid w:val="00FC07B6"/>
    <w:rsid w:val="00FC16AF"/>
    <w:rsid w:val="00FC1B2C"/>
    <w:rsid w:val="00FC4737"/>
    <w:rsid w:val="00FC6FB6"/>
    <w:rsid w:val="00FE48F8"/>
    <w:rsid w:val="00FE7C68"/>
    <w:rsid w:val="00FE7DDF"/>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8E4C1-0B8E-41CB-8268-6F8771C0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749A5"/>
    <w:pPr>
      <w:spacing w:after="200" w:line="276" w:lineRule="auto"/>
    </w:pPr>
    <w:rPr>
      <w:lang w:val="es-US"/>
    </w:rPr>
  </w:style>
  <w:style w:type="paragraph" w:styleId="Ttulo1">
    <w:name w:val="heading 1"/>
    <w:basedOn w:val="Normal"/>
    <w:next w:val="Normal"/>
    <w:link w:val="Ttulo1Car"/>
    <w:uiPriority w:val="9"/>
    <w:qFormat/>
    <w:rsid w:val="003749A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3749A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3749A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49A5"/>
    <w:rPr>
      <w:rFonts w:asciiTheme="majorHAnsi" w:eastAsiaTheme="majorEastAsia" w:hAnsiTheme="majorHAnsi" w:cstheme="majorBidi"/>
      <w:b/>
      <w:bCs/>
      <w:color w:val="2E74B5" w:themeColor="accent1" w:themeShade="BF"/>
      <w:sz w:val="28"/>
      <w:szCs w:val="28"/>
      <w:lang w:val="es-US"/>
    </w:rPr>
  </w:style>
  <w:style w:type="character" w:customStyle="1" w:styleId="Ttulo2Car">
    <w:name w:val="Título 2 Car"/>
    <w:basedOn w:val="Fuentedeprrafopredeter"/>
    <w:link w:val="Ttulo2"/>
    <w:uiPriority w:val="9"/>
    <w:rsid w:val="003749A5"/>
    <w:rPr>
      <w:rFonts w:asciiTheme="majorHAnsi" w:eastAsiaTheme="majorEastAsia" w:hAnsiTheme="majorHAnsi" w:cstheme="majorBidi"/>
      <w:b/>
      <w:bCs/>
      <w:color w:val="5B9BD5" w:themeColor="accent1"/>
      <w:sz w:val="26"/>
      <w:szCs w:val="26"/>
      <w:lang w:val="es-US"/>
    </w:rPr>
  </w:style>
  <w:style w:type="character" w:customStyle="1" w:styleId="Ttulo3Car">
    <w:name w:val="Título 3 Car"/>
    <w:basedOn w:val="Fuentedeprrafopredeter"/>
    <w:link w:val="Ttulo3"/>
    <w:uiPriority w:val="9"/>
    <w:rsid w:val="003749A5"/>
    <w:rPr>
      <w:rFonts w:asciiTheme="majorHAnsi" w:eastAsiaTheme="majorEastAsia" w:hAnsiTheme="majorHAnsi" w:cstheme="majorBidi"/>
      <w:b/>
      <w:bCs/>
      <w:color w:val="5B9BD5" w:themeColor="accent1"/>
      <w:lang w:val="es-US"/>
    </w:rPr>
  </w:style>
  <w:style w:type="character" w:styleId="Hipervnculo">
    <w:name w:val="Hyperlink"/>
    <w:basedOn w:val="Fuentedeprrafopredeter"/>
    <w:uiPriority w:val="99"/>
    <w:unhideWhenUsed/>
    <w:rsid w:val="003749A5"/>
    <w:rPr>
      <w:color w:val="0563C1" w:themeColor="hyperlink"/>
      <w:u w:val="single"/>
    </w:rPr>
  </w:style>
  <w:style w:type="table" w:styleId="Tablaconcuadrcula">
    <w:name w:val="Table Grid"/>
    <w:basedOn w:val="Tablanormal"/>
    <w:uiPriority w:val="59"/>
    <w:rsid w:val="003749A5"/>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3749A5"/>
    <w:rPr>
      <w:rFonts w:ascii="Tahoma" w:hAnsi="Tahoma" w:cs="Tahoma"/>
      <w:sz w:val="16"/>
      <w:szCs w:val="16"/>
      <w:lang w:val="es-US"/>
    </w:rPr>
  </w:style>
  <w:style w:type="paragraph" w:styleId="Textodeglobo">
    <w:name w:val="Balloon Text"/>
    <w:basedOn w:val="Normal"/>
    <w:link w:val="TextodegloboCar"/>
    <w:uiPriority w:val="99"/>
    <w:semiHidden/>
    <w:unhideWhenUsed/>
    <w:rsid w:val="003749A5"/>
    <w:pPr>
      <w:spacing w:after="0" w:line="240" w:lineRule="auto"/>
    </w:pPr>
    <w:rPr>
      <w:rFonts w:ascii="Tahoma" w:hAnsi="Tahoma" w:cs="Tahoma"/>
      <w:sz w:val="16"/>
      <w:szCs w:val="16"/>
    </w:rPr>
  </w:style>
  <w:style w:type="paragraph" w:styleId="Textonotapie">
    <w:name w:val="footnote text"/>
    <w:basedOn w:val="Normal"/>
    <w:link w:val="TextonotapieCar"/>
    <w:unhideWhenUsed/>
    <w:rsid w:val="003749A5"/>
    <w:pPr>
      <w:spacing w:after="0" w:line="240" w:lineRule="auto"/>
    </w:pPr>
    <w:rPr>
      <w:sz w:val="20"/>
      <w:szCs w:val="20"/>
    </w:rPr>
  </w:style>
  <w:style w:type="character" w:customStyle="1" w:styleId="TextonotapieCar">
    <w:name w:val="Texto nota pie Car"/>
    <w:basedOn w:val="Fuentedeprrafopredeter"/>
    <w:link w:val="Textonotapie"/>
    <w:rsid w:val="003749A5"/>
    <w:rPr>
      <w:sz w:val="20"/>
      <w:szCs w:val="20"/>
      <w:lang w:val="es-US"/>
    </w:rPr>
  </w:style>
  <w:style w:type="character" w:styleId="Refdenotaalpie">
    <w:name w:val="footnote reference"/>
    <w:basedOn w:val="Fuentedeprrafopredeter"/>
    <w:unhideWhenUsed/>
    <w:rsid w:val="003749A5"/>
    <w:rPr>
      <w:vertAlign w:val="superscript"/>
    </w:rPr>
  </w:style>
  <w:style w:type="paragraph" w:styleId="Prrafodelista">
    <w:name w:val="List Paragraph"/>
    <w:basedOn w:val="Normal"/>
    <w:uiPriority w:val="34"/>
    <w:qFormat/>
    <w:rsid w:val="003749A5"/>
    <w:pPr>
      <w:ind w:left="720"/>
      <w:contextualSpacing/>
    </w:pPr>
  </w:style>
  <w:style w:type="paragraph" w:customStyle="1" w:styleId="Texto">
    <w:name w:val="Texto"/>
    <w:basedOn w:val="Normal"/>
    <w:rsid w:val="003749A5"/>
    <w:pPr>
      <w:spacing w:after="101" w:line="216" w:lineRule="exact"/>
      <w:ind w:firstLine="288"/>
      <w:jc w:val="both"/>
    </w:pPr>
    <w:rPr>
      <w:rFonts w:ascii="Arial" w:eastAsia="Times New Roman" w:hAnsi="Arial" w:cs="Arial"/>
      <w:sz w:val="18"/>
      <w:szCs w:val="18"/>
      <w:lang w:val="es-MX" w:eastAsia="es-MX"/>
    </w:rPr>
  </w:style>
  <w:style w:type="paragraph" w:styleId="Encabezado">
    <w:name w:val="header"/>
    <w:basedOn w:val="Normal"/>
    <w:link w:val="EncabezadoCar"/>
    <w:uiPriority w:val="99"/>
    <w:unhideWhenUsed/>
    <w:rsid w:val="003749A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749A5"/>
    <w:rPr>
      <w:lang w:val="es-US"/>
    </w:rPr>
  </w:style>
  <w:style w:type="paragraph" w:styleId="Piedepgina">
    <w:name w:val="footer"/>
    <w:basedOn w:val="Normal"/>
    <w:link w:val="PiedepginaCar"/>
    <w:uiPriority w:val="99"/>
    <w:unhideWhenUsed/>
    <w:rsid w:val="003749A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749A5"/>
    <w:rPr>
      <w:lang w:val="es-US"/>
    </w:rPr>
  </w:style>
  <w:style w:type="paragraph" w:styleId="Descripcin">
    <w:name w:val="caption"/>
    <w:basedOn w:val="Normal"/>
    <w:next w:val="Normal"/>
    <w:uiPriority w:val="35"/>
    <w:unhideWhenUsed/>
    <w:qFormat/>
    <w:rsid w:val="003749A5"/>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egi.org.mx/est/contenidos/proyectos/ccpv/cpv2010/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avim.gob.mx/es/CONAVIM/Quienes_Som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avim.gob.mx/work/models/CONAVIM/Resource/530/1/images/Decreto_por_el_que_se_crea_como_OAD_de_la_SEGOB_la_Comision_para_Prevenir_Erradicar_la_Violencia_contra_Mujeres_Cd_Juare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8479</Words>
  <Characters>46640</Characters>
  <Application>Microsoft Office Word</Application>
  <DocSecurity>0</DocSecurity>
  <Lines>388</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Pacheco Gonzàlez</dc:creator>
  <cp:lastModifiedBy>JOE</cp:lastModifiedBy>
  <cp:revision>7</cp:revision>
  <dcterms:created xsi:type="dcterms:W3CDTF">2015-12-08T13:17:00Z</dcterms:created>
  <dcterms:modified xsi:type="dcterms:W3CDTF">2017-03-14T18:41:00Z</dcterms:modified>
</cp:coreProperties>
</file>